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E19" w:rsidRPr="00FD1E19" w:rsidRDefault="00FD1E19" w:rsidP="00FD1E19">
      <w:pPr>
        <w:spacing w:before="100" w:beforeAutospacing="1" w:after="100" w:afterAutospacing="1"/>
        <w:outlineLvl w:val="1"/>
        <w:rPr>
          <w:rFonts w:ascii="Verdana" w:eastAsia="Times New Roman" w:hAnsi="Verdana"/>
          <w:b/>
          <w:bCs/>
          <w:color w:val="800000"/>
          <w:sz w:val="36"/>
          <w:szCs w:val="36"/>
          <w:lang w:eastAsia="cs-CZ"/>
        </w:rPr>
      </w:pPr>
      <w:r w:rsidRPr="00FD1E19">
        <w:rPr>
          <w:rFonts w:ascii="Verdana" w:eastAsia="Times New Roman" w:hAnsi="Verdana"/>
          <w:b/>
          <w:bCs/>
          <w:color w:val="800000"/>
          <w:sz w:val="36"/>
          <w:szCs w:val="36"/>
          <w:lang w:eastAsia="cs-CZ"/>
        </w:rPr>
        <w:t>Dětska scéna 2015 – propozice</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36"/>
          <w:lang w:eastAsia="cs-CZ"/>
        </w:rPr>
        <w:t>Dětská scéna</w:t>
      </w:r>
      <w:r w:rsidRPr="00FD1E19">
        <w:rPr>
          <w:rFonts w:ascii="Verdana" w:eastAsia="Times New Roman" w:hAnsi="Verdana"/>
          <w:color w:val="800000"/>
          <w:sz w:val="17"/>
          <w:szCs w:val="17"/>
          <w:lang w:eastAsia="cs-CZ"/>
        </w:rPr>
        <w:br/>
      </w:r>
      <w:r w:rsidRPr="00FD1E19">
        <w:rPr>
          <w:rFonts w:ascii="Verdana" w:eastAsia="Times New Roman" w:hAnsi="Verdana"/>
          <w:b/>
          <w:bCs/>
          <w:color w:val="800000"/>
          <w:sz w:val="27"/>
          <w:lang w:eastAsia="cs-CZ"/>
        </w:rPr>
        <w:t>44. celostátní přehlídka dětského divadla a 44. celostátní přehlídka dětských recitátorů</w:t>
      </w:r>
      <w:r w:rsidRPr="00FD1E19">
        <w:rPr>
          <w:rFonts w:ascii="Verdana" w:eastAsia="Times New Roman" w:hAnsi="Verdana"/>
          <w:color w:val="800000"/>
          <w:sz w:val="17"/>
          <w:szCs w:val="17"/>
          <w:lang w:eastAsia="cs-CZ"/>
        </w:rPr>
        <w:br/>
      </w:r>
      <w:r w:rsidRPr="00FD1E19">
        <w:rPr>
          <w:rFonts w:ascii="Verdana" w:eastAsia="Times New Roman" w:hAnsi="Verdana"/>
          <w:b/>
          <w:bCs/>
          <w:color w:val="800000"/>
          <w:sz w:val="27"/>
          <w:lang w:eastAsia="cs-CZ"/>
        </w:rPr>
        <w:t>12.–18. června 2015, Svitavy</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Z pověření a za finančního přispění Ministerstva kultury pořádá NIPOS-ARTAMA ve spolupráci se Střediskem kulturních služeb města Svitavy a Sdružením pro tvořivou dramatiku. Přehlídka probíhá za finanční podpory MŠMT.</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27"/>
          <w:lang w:eastAsia="cs-CZ"/>
        </w:rPr>
        <w:t>Celostátní přehlídka dětského divadla</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17"/>
          <w:lang w:eastAsia="cs-CZ"/>
        </w:rPr>
        <w:t>I. CHARAKTERISTIKA A POSLÁNÍ PŘEHLÍDKY</w:t>
      </w:r>
      <w:r w:rsidRPr="00FD1E19">
        <w:rPr>
          <w:rFonts w:ascii="Verdana" w:eastAsia="Times New Roman" w:hAnsi="Verdana"/>
          <w:b/>
          <w:bCs/>
          <w:color w:val="800000"/>
          <w:sz w:val="17"/>
          <w:szCs w:val="17"/>
          <w:lang w:eastAsia="cs-CZ"/>
        </w:rPr>
        <w:br/>
      </w:r>
      <w:r w:rsidRPr="00FD1E19">
        <w:rPr>
          <w:rFonts w:ascii="Verdana" w:eastAsia="Times New Roman" w:hAnsi="Verdana"/>
          <w:color w:val="800000"/>
          <w:sz w:val="17"/>
          <w:szCs w:val="17"/>
          <w:lang w:eastAsia="cs-CZ"/>
        </w:rPr>
        <w:t>Celostátní přehlídka dětského divadla je přehlídka a dílna nejzajímavějších a nejinspirativnějších inscenací dětských divadelních, loutkářských a recitačních souborů z celé ČR. Inscenace jsou vybírány z krajských postupových přehlídek, jimž pokud možno předcházejí oblastní (okresní), popř. obvodní kola.</w:t>
      </w:r>
      <w:r w:rsidRPr="00FD1E19">
        <w:rPr>
          <w:rFonts w:ascii="Verdana" w:eastAsia="Times New Roman" w:hAnsi="Verdana"/>
          <w:color w:val="800000"/>
          <w:sz w:val="17"/>
          <w:szCs w:val="17"/>
          <w:lang w:eastAsia="cs-CZ"/>
        </w:rPr>
        <w:br/>
        <w:t>Smyslem přehlídek je konfrontace různých stylů práce s dětskými soubory v oblasti dramatické výchovy a vytvoření příležitosti pro předávání zkušeností a vzájemnou inspiraci pracovníků s dětmi a mládeží. Přehlídky by měly probíhat v atmosféře přátelského pracovního setkání a podle možností mohou být doplněny podnětným programem pro zúčastněné děti (tvůrčí dílny, diskuse, hry apod.) a vzdělávacími akcemi pro dospělé účastníky.</w:t>
      </w:r>
      <w:r w:rsidRPr="00FD1E19">
        <w:rPr>
          <w:rFonts w:ascii="Verdana" w:eastAsia="Times New Roman" w:hAnsi="Verdana"/>
          <w:color w:val="800000"/>
          <w:sz w:val="17"/>
          <w:szCs w:val="17"/>
          <w:lang w:eastAsia="cs-CZ"/>
        </w:rPr>
        <w:br/>
        <w:t>Na přehlídkách dětských souborů se nevyhlašuje pořadí (první, druhé, třetí… místo). Lektorský sbor (odborná porota) doporučuje vybrané inscenace k postupu na přehlídky vyššího stupně a všem účastníkům jsou podle možností pořadatele uděleny pamětní listy za účast, popř. drobné dárky.</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17"/>
          <w:lang w:eastAsia="cs-CZ"/>
        </w:rPr>
        <w:t>II. PODMÍNKY ÚČASTI</w:t>
      </w:r>
      <w:r w:rsidRPr="00FD1E19">
        <w:rPr>
          <w:rFonts w:ascii="Verdana" w:eastAsia="Times New Roman" w:hAnsi="Verdana"/>
          <w:b/>
          <w:bCs/>
          <w:color w:val="800000"/>
          <w:sz w:val="17"/>
          <w:szCs w:val="17"/>
          <w:lang w:eastAsia="cs-CZ"/>
        </w:rPr>
        <w:br/>
      </w:r>
      <w:r w:rsidRPr="00FD1E19">
        <w:rPr>
          <w:rFonts w:ascii="Verdana" w:eastAsia="Times New Roman" w:hAnsi="Verdana"/>
          <w:color w:val="800000"/>
          <w:sz w:val="17"/>
          <w:szCs w:val="17"/>
          <w:lang w:eastAsia="cs-CZ"/>
        </w:rPr>
        <w:t>Přehlídek se mohou zúčastnit dětské divadelní, loutkářské a recitační soubory působící při jakékoliv školské či kulturní instituci (ZUŠ, DDM, SVČ, ZŠ, víceleté gymnázium, kulturní středisko…) nebo samostatně. Tyto soubory by měly být složeny alespoň ze 3/4 z žáků základních škol či odpovídajících ročníků víceletých gymnázií. Soubory se přihlašují na přehlídku, která je pro ně nejsnáze dosažitelná. Pokud nevědí o pořadateli přehlídky na úrovni okresu (popř. městského obvodu), kontaktují přímo organizátory krajského kola. Soubory se mohou s jednou inscenací zúčastnit pouze jedné krajské přehlídky.</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17"/>
          <w:lang w:eastAsia="cs-CZ"/>
        </w:rPr>
        <w:t>III. ORGANIZACE A PRŮBĚH</w:t>
      </w:r>
      <w:r w:rsidRPr="00FD1E19">
        <w:rPr>
          <w:rFonts w:ascii="Verdana" w:eastAsia="Times New Roman" w:hAnsi="Verdana"/>
          <w:b/>
          <w:bCs/>
          <w:color w:val="800000"/>
          <w:sz w:val="17"/>
          <w:szCs w:val="17"/>
          <w:lang w:eastAsia="cs-CZ"/>
        </w:rPr>
        <w:br/>
      </w:r>
      <w:r w:rsidRPr="00FD1E19">
        <w:rPr>
          <w:rFonts w:ascii="Verdana" w:eastAsia="Times New Roman" w:hAnsi="Verdana"/>
          <w:color w:val="800000"/>
          <w:sz w:val="17"/>
          <w:szCs w:val="17"/>
          <w:lang w:eastAsia="cs-CZ"/>
        </w:rPr>
        <w:t>Pořadatelé krajských kol konzultují vyhlášení a termín přehlídky s odborným pracovníkem NIPOS-ARTAMA. Vydávají zpravidla vlastní propozice přizpůsobené specifickým podmínkám v místě (počet postupujících z oblastních kol apod.). Organizátoři oblastních (okresních, obvodních) kol dodržují pravidla stanovená těmito propozicemi. V případě jejich nedodržení není pořadatel krajské přehlídky povinen respektovat návrh na postup souborů z nižšího postupového kola.</w:t>
      </w:r>
      <w:r w:rsidRPr="00FD1E19">
        <w:rPr>
          <w:rFonts w:ascii="Verdana" w:eastAsia="Times New Roman" w:hAnsi="Verdana"/>
          <w:color w:val="800000"/>
          <w:sz w:val="17"/>
          <w:szCs w:val="17"/>
          <w:lang w:eastAsia="cs-CZ"/>
        </w:rPr>
        <w:br/>
        <w:t>Do krajského kola jsou soubory doporučeny lektorským sborem (odbornou porotou) oblastní (okresní, obvodní) přehlídky nebo výběrovou porotou ustanovenou pořadatelem krajského kola, která v případě potřeby mimo termín přehlídky navštíví představení přihlášených souborů, které nemají možnost zúčastnit se oblastního kola. Ve výjimečných případech je možné také posouzení na základě videozáznamu představení.</w:t>
      </w:r>
      <w:r w:rsidRPr="00FD1E19">
        <w:rPr>
          <w:rFonts w:ascii="Verdana" w:eastAsia="Times New Roman" w:hAnsi="Verdana"/>
          <w:color w:val="800000"/>
          <w:sz w:val="17"/>
          <w:szCs w:val="17"/>
          <w:lang w:eastAsia="cs-CZ"/>
        </w:rPr>
        <w:br/>
        <w:t>Realizátory a odbornými garanty krajských a oblastních přehlídek mohou být školské nebo kulturní instituce, občanská sdružení nebo i soukromé osoby, nadace atd. Pro zabezpečení akce je vhodná spolupráce více subjektů. Přehlídky lze pořádat společně s přehlídkami dětských recitátorů.</w:t>
      </w:r>
      <w:r w:rsidRPr="00FD1E19">
        <w:rPr>
          <w:rFonts w:ascii="Verdana" w:eastAsia="Times New Roman" w:hAnsi="Verdana"/>
          <w:color w:val="800000"/>
          <w:sz w:val="17"/>
          <w:szCs w:val="17"/>
          <w:lang w:eastAsia="cs-CZ"/>
        </w:rPr>
        <w:br/>
        <w:t>Součástí přehlídek všech stupňů je hodnocení formou diskuse o vystoupeních s vedoucími souborů, příp. dalšími dospělými účastníky přehlídky, pod vedením lektorského sboru (odborné poroty). Pro děti je možné uspořádat citlivě vedené diskusní kluby nebo praktické dílny. Vhodným obohacením přehlídek mohou být odborné, nejlépe praktické semináře pro vedoucí dětských souborů a pro učitele zabývající se ve své praxi dětským divadlem, přednesem či dramatickou výchovou.</w:t>
      </w:r>
      <w:r w:rsidRPr="00FD1E19">
        <w:rPr>
          <w:rFonts w:ascii="Verdana" w:eastAsia="Times New Roman" w:hAnsi="Verdana"/>
          <w:color w:val="800000"/>
          <w:sz w:val="17"/>
          <w:szCs w:val="17"/>
          <w:lang w:eastAsia="cs-CZ"/>
        </w:rPr>
        <w:br/>
        <w:t>Doporučení na lektory pro poroty, semináře či dílny lze získat v Centru estetických aktivit dětí a mládeže NIPOS-ARTAMA.</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V roce 2015 by měla jednotlivá kola přehlídky proběhnout v těchto termínech:</w:t>
      </w:r>
      <w:r w:rsidRPr="00FD1E19">
        <w:rPr>
          <w:rFonts w:ascii="Verdana" w:eastAsia="Times New Roman" w:hAnsi="Verdana"/>
          <w:color w:val="800000"/>
          <w:sz w:val="17"/>
          <w:szCs w:val="17"/>
          <w:lang w:eastAsia="cs-CZ"/>
        </w:rPr>
        <w:br/>
        <w:t>Oblastní (okresní, obvodní) přehlídky:</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do 22. března 2015</w:t>
      </w:r>
      <w:r w:rsidRPr="00FD1E19">
        <w:rPr>
          <w:rFonts w:ascii="Verdana" w:eastAsia="Times New Roman" w:hAnsi="Verdana"/>
          <w:color w:val="800000"/>
          <w:sz w:val="17"/>
          <w:szCs w:val="17"/>
          <w:lang w:eastAsia="cs-CZ"/>
        </w:rPr>
        <w:t>.</w:t>
      </w:r>
      <w:r w:rsidRPr="00FD1E19">
        <w:rPr>
          <w:rFonts w:ascii="Verdana" w:eastAsia="Times New Roman" w:hAnsi="Verdana"/>
          <w:color w:val="800000"/>
          <w:sz w:val="17"/>
          <w:szCs w:val="17"/>
          <w:lang w:eastAsia="cs-CZ"/>
        </w:rPr>
        <w:br/>
        <w:t>Krajská kola:</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do 26. dubna 2015</w:t>
      </w:r>
      <w:r w:rsidRPr="00FD1E19">
        <w:rPr>
          <w:rFonts w:ascii="Verdana" w:eastAsia="Times New Roman" w:hAnsi="Verdana"/>
          <w:color w:val="800000"/>
          <w:sz w:val="17"/>
          <w:szCs w:val="17"/>
          <w:lang w:eastAsia="cs-CZ"/>
        </w:rPr>
        <w:t>.</w:t>
      </w:r>
      <w:r w:rsidRPr="00FD1E19">
        <w:rPr>
          <w:rFonts w:ascii="Verdana" w:eastAsia="Times New Roman" w:hAnsi="Verdana"/>
          <w:color w:val="800000"/>
          <w:sz w:val="17"/>
          <w:szCs w:val="17"/>
          <w:lang w:eastAsia="cs-CZ"/>
        </w:rPr>
        <w:br/>
      </w:r>
      <w:r w:rsidRPr="00FD1E19">
        <w:rPr>
          <w:rFonts w:ascii="Verdana" w:eastAsia="Times New Roman" w:hAnsi="Verdana"/>
          <w:color w:val="800000"/>
          <w:sz w:val="17"/>
          <w:szCs w:val="17"/>
          <w:lang w:eastAsia="cs-CZ"/>
        </w:rPr>
        <w:lastRenderedPageBreak/>
        <w:t>Celostátní přehlídka dětského divadla se koná společně s Celostátní přehlídkou dětských recitátorů pod názvem Dětská scéna 2015 ve dnech</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12.–18. června 2015</w:t>
      </w:r>
      <w:r w:rsidRPr="00FD1E19">
        <w:rPr>
          <w:rFonts w:ascii="Verdana" w:eastAsia="Times New Roman" w:hAnsi="Verdana"/>
          <w:color w:val="800000"/>
          <w:sz w:val="17"/>
          <w:szCs w:val="17"/>
          <w:lang w:eastAsia="cs-CZ"/>
        </w:rPr>
        <w:t>.</w:t>
      </w:r>
      <w:r w:rsidRPr="00FD1E19">
        <w:rPr>
          <w:rFonts w:ascii="Verdana" w:eastAsia="Times New Roman" w:hAnsi="Verdana"/>
          <w:color w:val="800000"/>
          <w:sz w:val="17"/>
          <w:szCs w:val="17"/>
          <w:lang w:eastAsia="cs-CZ"/>
        </w:rPr>
        <w:br/>
        <w:t>Oblastní (okresní, obvodní) kola se mohou po dohodě s pořadatelem příslušného krajského kola konat i v pozdějším termínu, než jak je stanoveno v těchto propozicích.</w:t>
      </w:r>
      <w:r w:rsidRPr="00FD1E19">
        <w:rPr>
          <w:rFonts w:ascii="Verdana" w:eastAsia="Times New Roman" w:hAnsi="Verdana"/>
          <w:color w:val="800000"/>
          <w:sz w:val="17"/>
          <w:szCs w:val="17"/>
          <w:lang w:eastAsia="cs-CZ"/>
        </w:rPr>
        <w:br/>
        <w:t>Vzhledem k tomu, že je mezi členy dětských divadelních souborů řada dětí, které se věnují recitaci, je třeba, aby pořadatelé krajských přehlídek dětského divadla a dětských recitátorů koordinovali termíny tak, aby se přehlídky nepřekrývaly.</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17"/>
          <w:lang w:eastAsia="cs-CZ"/>
        </w:rPr>
        <w:t>IV. HODNOCENÍ A VÝBĚR</w:t>
      </w:r>
      <w:r w:rsidRPr="00FD1E19">
        <w:rPr>
          <w:rFonts w:ascii="Verdana" w:eastAsia="Times New Roman" w:hAnsi="Verdana"/>
          <w:b/>
          <w:bCs/>
          <w:color w:val="800000"/>
          <w:sz w:val="17"/>
          <w:szCs w:val="17"/>
          <w:lang w:eastAsia="cs-CZ"/>
        </w:rPr>
        <w:br/>
      </w:r>
      <w:r w:rsidRPr="00FD1E19">
        <w:rPr>
          <w:rFonts w:ascii="Verdana" w:eastAsia="Times New Roman" w:hAnsi="Verdana"/>
          <w:color w:val="800000"/>
          <w:sz w:val="17"/>
          <w:szCs w:val="17"/>
          <w:lang w:eastAsia="cs-CZ"/>
        </w:rPr>
        <w:t>Hodnocení vystoupení na všech stupních provádějí nejméně tříčlenné lektorské sbory (odborné poroty), jmenované pořadatelem příslušné přehlídky. Jejich členy jsou odborníci z oblasti dětského divadla, dětského loutkového divadla, dětského přednesu a dramatické výchovy, doplnění o praktiky nebo teoretiky z jiných oblastí divadla. Členem každého lektorského sboru musí být nejméně jeden odborník, který se aspoň jednou v posledních třech letech zúčastnil celé přehlídky vyššího stupně, pro niž lektorský sbor inscenaci vybírá. Centrum dětských aktivit NIPOS-ARTAMA na požádání tyto odborníky doporučí.</w:t>
      </w:r>
      <w:r w:rsidRPr="00FD1E19">
        <w:rPr>
          <w:rFonts w:ascii="Verdana" w:eastAsia="Times New Roman" w:hAnsi="Verdana"/>
          <w:color w:val="800000"/>
          <w:sz w:val="17"/>
          <w:szCs w:val="17"/>
          <w:lang w:eastAsia="cs-CZ"/>
        </w:rPr>
        <w:br/>
        <w:t>Lektorský sbor hodnotí zejména:</w:t>
      </w:r>
    </w:p>
    <w:p w:rsidR="00FD1E19" w:rsidRPr="00FD1E19" w:rsidRDefault="00FD1E19" w:rsidP="00FD1E19">
      <w:pPr>
        <w:numPr>
          <w:ilvl w:val="0"/>
          <w:numId w:val="1"/>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umělecké a výchovné hodnoty inscenace a její textové předlohy,</w:t>
      </w:r>
    </w:p>
    <w:p w:rsidR="00FD1E19" w:rsidRPr="00FD1E19" w:rsidRDefault="00FD1E19" w:rsidP="00FD1E19">
      <w:pPr>
        <w:numPr>
          <w:ilvl w:val="0"/>
          <w:numId w:val="1"/>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vybavenost dětí v souboru vzhledem k dané inscenaci,</w:t>
      </w:r>
    </w:p>
    <w:p w:rsidR="00FD1E19" w:rsidRPr="00FD1E19" w:rsidRDefault="00FD1E19" w:rsidP="00FD1E19">
      <w:pPr>
        <w:numPr>
          <w:ilvl w:val="0"/>
          <w:numId w:val="1"/>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metody práce a tvořivý přístup vedoucího souboru,</w:t>
      </w:r>
    </w:p>
    <w:p w:rsidR="00FD1E19" w:rsidRPr="00FD1E19" w:rsidRDefault="00FD1E19" w:rsidP="00FD1E19">
      <w:pPr>
        <w:numPr>
          <w:ilvl w:val="0"/>
          <w:numId w:val="1"/>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přínos práce souboru a jeho vedoucího pro rozvíjení oboru dramatické výchovy, dětského divadla a dětského přednesu.</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Pořadatel krajské přehlídky může na základě rozhodnutí lektorského sboru (poroty) navrhnout programové radě DS nejvýše jeden divadelní, loutkářský či recitační soubor k </w:t>
      </w:r>
      <w:r w:rsidRPr="00FD1E19">
        <w:rPr>
          <w:rFonts w:ascii="Verdana" w:eastAsia="Times New Roman" w:hAnsi="Verdana"/>
          <w:b/>
          <w:bCs/>
          <w:color w:val="800000"/>
          <w:sz w:val="17"/>
          <w:lang w:eastAsia="cs-CZ"/>
        </w:rPr>
        <w:t>přímému postupu</w:t>
      </w:r>
      <w:r w:rsidRPr="00FD1E19">
        <w:rPr>
          <w:rFonts w:ascii="Verdana" w:eastAsia="Times New Roman" w:hAnsi="Verdana"/>
          <w:color w:val="800000"/>
          <w:sz w:val="17"/>
          <w:lang w:eastAsia="cs-CZ"/>
        </w:rPr>
        <w:t> </w:t>
      </w:r>
      <w:r w:rsidRPr="00FD1E19">
        <w:rPr>
          <w:rFonts w:ascii="Verdana" w:eastAsia="Times New Roman" w:hAnsi="Verdana"/>
          <w:color w:val="800000"/>
          <w:sz w:val="17"/>
          <w:szCs w:val="17"/>
          <w:lang w:eastAsia="cs-CZ"/>
        </w:rPr>
        <w:t>na celostátní přehlídku. V případě, že se na přehlídce vyskytnou další kvalitní a inspirativní inscenace, může je doporučit programové radě DS do</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širšího výběru</w:t>
      </w:r>
      <w:r w:rsidRPr="00FD1E19">
        <w:rPr>
          <w:rFonts w:ascii="Verdana" w:eastAsia="Times New Roman" w:hAnsi="Verdana"/>
          <w:color w:val="800000"/>
          <w:sz w:val="17"/>
          <w:lang w:eastAsia="cs-CZ"/>
        </w:rPr>
        <w:t> </w:t>
      </w:r>
      <w:r w:rsidRPr="00FD1E19">
        <w:rPr>
          <w:rFonts w:ascii="Verdana" w:eastAsia="Times New Roman" w:hAnsi="Verdana"/>
          <w:color w:val="800000"/>
          <w:sz w:val="17"/>
          <w:szCs w:val="17"/>
          <w:lang w:eastAsia="cs-CZ"/>
        </w:rPr>
        <w:t>(bez ohledu na rozlišování kategorie divadelní a recitační). Programová rada DS může při sestavování programu celostátní přehlídky přihlédnout i k pořadí doporučenému lektorským sborem krajského kola. Pokud je pořadí navrženo, slouží pouze interním potřebám programové rady a není vhodné, aby bylo zveřejňováno.</w:t>
      </w:r>
      <w:r w:rsidRPr="00FD1E19">
        <w:rPr>
          <w:rFonts w:ascii="Verdana" w:eastAsia="Times New Roman" w:hAnsi="Verdana"/>
          <w:color w:val="800000"/>
          <w:sz w:val="17"/>
          <w:szCs w:val="17"/>
          <w:lang w:eastAsia="cs-CZ"/>
        </w:rPr>
        <w:br/>
        <w:t>Pokud je přehlídka určena pro dva kraje, může její pořadatel využít práva samostatných návrhů na přímý postup za každý kraj.</w:t>
      </w:r>
      <w:r w:rsidRPr="00FD1E19">
        <w:rPr>
          <w:rFonts w:ascii="Verdana" w:eastAsia="Times New Roman" w:hAnsi="Verdana"/>
          <w:color w:val="800000"/>
          <w:sz w:val="17"/>
          <w:szCs w:val="17"/>
          <w:lang w:eastAsia="cs-CZ"/>
        </w:rPr>
        <w:br/>
        <w:t>Lektorský sbor krajské přehlídky musí vždy zvážit, zda jsou inscenace natolik podnětné a kvalitní, aby byly přínosem pro celostátní přehlídku. Pokud se taková inscenace na krajské přehlídce neobjeví, nedoporučí pořadatel na DS žádný soubor.</w:t>
      </w:r>
      <w:r w:rsidRPr="00FD1E19">
        <w:rPr>
          <w:rFonts w:ascii="Verdana" w:eastAsia="Times New Roman" w:hAnsi="Verdana"/>
          <w:color w:val="800000"/>
          <w:sz w:val="17"/>
          <w:szCs w:val="17"/>
          <w:lang w:eastAsia="cs-CZ"/>
        </w:rPr>
        <w:br/>
        <w:t>Inscenace musí mít v evidenčním listu podrobný a věcný posudek od lektorského sboru krajské přehlídky, jinak programová rada DS nemusí vzít návrh v úvahu.</w:t>
      </w:r>
      <w:r w:rsidRPr="00FD1E19">
        <w:rPr>
          <w:rFonts w:ascii="Verdana" w:eastAsia="Times New Roman" w:hAnsi="Verdana"/>
          <w:color w:val="800000"/>
          <w:sz w:val="17"/>
          <w:szCs w:val="17"/>
          <w:lang w:eastAsia="cs-CZ"/>
        </w:rPr>
        <w:br/>
        <w:t>Počet účastníků ani časový limit vystoupení nejsou stanoveny, navrhovatel ale musí zvážit, zda je počet účinkujících přiměřený délce trvání inscenace a její náročnosti.</w:t>
      </w:r>
      <w:r w:rsidRPr="00FD1E19">
        <w:rPr>
          <w:rFonts w:ascii="Verdana" w:eastAsia="Times New Roman" w:hAnsi="Verdana"/>
          <w:color w:val="800000"/>
          <w:sz w:val="17"/>
          <w:szCs w:val="17"/>
          <w:lang w:eastAsia="cs-CZ"/>
        </w:rPr>
        <w:br/>
        <w:t>Po skončení krajské přehlídky doručí její pořadatel programové radě DS:</w:t>
      </w:r>
    </w:p>
    <w:p w:rsidR="00FD1E19" w:rsidRPr="00FD1E19" w:rsidRDefault="00FD1E19" w:rsidP="00FD1E19">
      <w:pPr>
        <w:numPr>
          <w:ilvl w:val="0"/>
          <w:numId w:val="2"/>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vyplněný evidenční list souboru a inscenace (formulář vydává ARTAMA),</w:t>
      </w:r>
    </w:p>
    <w:p w:rsidR="00FD1E19" w:rsidRPr="00FD1E19" w:rsidRDefault="00FD1E19" w:rsidP="00FD1E19">
      <w:pPr>
        <w:numPr>
          <w:ilvl w:val="0"/>
          <w:numId w:val="2"/>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výstižný, věcný posudek lektorského sboru na doporučenou inscenaci,</w:t>
      </w:r>
    </w:p>
    <w:p w:rsidR="00FD1E19" w:rsidRPr="00FD1E19" w:rsidRDefault="00FD1E19" w:rsidP="00FD1E19">
      <w:pPr>
        <w:numPr>
          <w:ilvl w:val="0"/>
          <w:numId w:val="2"/>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aspoň jeden exemplář textu hry/pásma.</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Tyto materiály doručí pořadatel krajské přehlídky</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nejpozději do 28. dubna 2015</w:t>
      </w:r>
      <w:r w:rsidRPr="00FD1E19">
        <w:rPr>
          <w:rFonts w:ascii="Verdana" w:eastAsia="Times New Roman" w:hAnsi="Verdana"/>
          <w:color w:val="800000"/>
          <w:sz w:val="17"/>
          <w:lang w:eastAsia="cs-CZ"/>
        </w:rPr>
        <w:t> </w:t>
      </w:r>
      <w:r w:rsidRPr="00FD1E19">
        <w:rPr>
          <w:rFonts w:ascii="Verdana" w:eastAsia="Times New Roman" w:hAnsi="Verdana"/>
          <w:color w:val="800000"/>
          <w:sz w:val="17"/>
          <w:szCs w:val="17"/>
          <w:lang w:eastAsia="cs-CZ"/>
        </w:rPr>
        <w:t>na adresu:</w:t>
      </w:r>
      <w:r w:rsidRPr="00FD1E19">
        <w:rPr>
          <w:rFonts w:ascii="Verdana" w:eastAsia="Times New Roman" w:hAnsi="Verdana"/>
          <w:color w:val="800000"/>
          <w:sz w:val="17"/>
          <w:szCs w:val="17"/>
          <w:lang w:eastAsia="cs-CZ"/>
        </w:rPr>
        <w:br/>
      </w:r>
      <w:r w:rsidRPr="00FD1E19">
        <w:rPr>
          <w:rFonts w:ascii="Verdana" w:eastAsia="Times New Roman" w:hAnsi="Verdana"/>
          <w:i/>
          <w:iCs/>
          <w:color w:val="800000"/>
          <w:sz w:val="17"/>
          <w:lang w:eastAsia="cs-CZ"/>
        </w:rPr>
        <w:t>NIPOS-ARTAMA, Jakub Hulák, P. O. BOX 12 / Fügnerovo nám. 5, 120 21 Praha 2, e-mail: hulak@nipos-mk.cz (tel.: 221 507 969).</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Program Dětské scény sestaví z návrhů ze všech krajských přehlídek programová rada DS jmenovaná NIPOS-ARTAMA.</w:t>
      </w:r>
      <w:r w:rsidRPr="00FD1E19">
        <w:rPr>
          <w:rFonts w:ascii="Verdana" w:eastAsia="Times New Roman" w:hAnsi="Verdana"/>
          <w:color w:val="800000"/>
          <w:sz w:val="17"/>
          <w:szCs w:val="17"/>
          <w:lang w:eastAsia="cs-CZ"/>
        </w:rPr>
        <w:br/>
        <w:t>V případě, že se na krajské přehlídce vyskytne mimořádně zdařilá či inspirativní loutkářská inscenace, může ji lektorský sbor doporučit také k výběru na celostátní přehlídku Loutkářská Chrudim. V takovém případě připojí pořadatel k zaslaným materiálům (viz výše) písemné doporučení lektorského sboru.</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17"/>
          <w:lang w:eastAsia="cs-CZ"/>
        </w:rPr>
        <w:t>V. ZÁVĚREČNÁ USTANOVENÍ</w:t>
      </w:r>
      <w:r w:rsidRPr="00FD1E19">
        <w:rPr>
          <w:rFonts w:ascii="Verdana" w:eastAsia="Times New Roman" w:hAnsi="Verdana"/>
          <w:b/>
          <w:bCs/>
          <w:color w:val="800000"/>
          <w:sz w:val="17"/>
          <w:szCs w:val="17"/>
          <w:lang w:eastAsia="cs-CZ"/>
        </w:rPr>
        <w:br/>
      </w:r>
      <w:r w:rsidRPr="00FD1E19">
        <w:rPr>
          <w:rFonts w:ascii="Verdana" w:eastAsia="Times New Roman" w:hAnsi="Verdana"/>
          <w:color w:val="800000"/>
          <w:sz w:val="17"/>
          <w:szCs w:val="17"/>
          <w:lang w:eastAsia="cs-CZ"/>
        </w:rPr>
        <w:t>V zájmu koordinace krajských kol dodržuje pořadatel přehlídky pravidla daná těmito propozicemi a konzultuje vyhlášení a přípravu přehlídky s odborným pracovníkem NIPOS-ARTAMA. V případě nedodržení pravidel ze strany pořadatele přehlídky není programová rada DS povinna respektovat návrhy na postup souborů z krajského kola.</w:t>
      </w:r>
      <w:r w:rsidRPr="00FD1E19">
        <w:rPr>
          <w:rFonts w:ascii="Verdana" w:eastAsia="Times New Roman" w:hAnsi="Verdana"/>
          <w:color w:val="800000"/>
          <w:sz w:val="17"/>
          <w:szCs w:val="17"/>
          <w:lang w:eastAsia="cs-CZ"/>
        </w:rPr>
        <w:br/>
        <w:t>V případě ekonomických potíží může být program přehlídky omezen nebo může být přehlídka odvolána.</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 </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27"/>
          <w:lang w:eastAsia="cs-CZ"/>
        </w:rPr>
        <w:lastRenderedPageBreak/>
        <w:t>Celostátní přehlídka dětských recitátorů</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17"/>
          <w:lang w:eastAsia="cs-CZ"/>
        </w:rPr>
        <w:t>I. CHARAKTERISTIKA A POSLÁNÍ PŘEHLÍDKY</w:t>
      </w:r>
      <w:r w:rsidRPr="00FD1E19">
        <w:rPr>
          <w:rFonts w:ascii="Verdana" w:eastAsia="Times New Roman" w:hAnsi="Verdana"/>
          <w:b/>
          <w:bCs/>
          <w:color w:val="800000"/>
          <w:sz w:val="17"/>
          <w:szCs w:val="17"/>
          <w:lang w:eastAsia="cs-CZ"/>
        </w:rPr>
        <w:br/>
      </w:r>
      <w:r w:rsidRPr="00FD1E19">
        <w:rPr>
          <w:rFonts w:ascii="Verdana" w:eastAsia="Times New Roman" w:hAnsi="Verdana"/>
          <w:color w:val="800000"/>
          <w:sz w:val="17"/>
          <w:szCs w:val="17"/>
          <w:lang w:eastAsia="cs-CZ"/>
        </w:rPr>
        <w:t>Celostátní přehlídka dětských recitátorů je přehlídka a dílna nejzajímavějších a nejinspirativnějších vystoupení dětských sólových recitátorů z celé ČR. Recitátoři jsou vybíráni z krajských postupových přehlídek, jimž předcházejí oblastní (okresní), popř. obvodní a školní kola.</w:t>
      </w:r>
      <w:r w:rsidRPr="00FD1E19">
        <w:rPr>
          <w:rFonts w:ascii="Verdana" w:eastAsia="Times New Roman" w:hAnsi="Verdana"/>
          <w:color w:val="800000"/>
          <w:sz w:val="17"/>
          <w:szCs w:val="17"/>
          <w:lang w:eastAsia="cs-CZ"/>
        </w:rPr>
        <w:br/>
        <w:t>Přehlídka má přímou vazbu na výuku českého jazyka a literatury na základních školách a víceletých gymnáziích. Prostřednictvím tvořivé práce na interpretaci básní či prózy a přípravy veřejného vystoupení rozvíjí v dětech schopnost hlubšího porozumění textu a vyspělého ovládání mateřského jazyka, přispívá ke kultivaci mluveného slova a rozvoji mluvních a komunikačních dovedností. Zároveň děti motivuje k aktivnímu poznávání české i světové literatury a získávání vztahu k ní.</w:t>
      </w:r>
      <w:r w:rsidRPr="00FD1E19">
        <w:rPr>
          <w:rFonts w:ascii="Verdana" w:eastAsia="Times New Roman" w:hAnsi="Verdana"/>
          <w:color w:val="800000"/>
          <w:sz w:val="17"/>
          <w:szCs w:val="17"/>
          <w:lang w:eastAsia="cs-CZ"/>
        </w:rPr>
        <w:br/>
        <w:t>Učitelům nabízí přehlídka možnost pracovního setkávání, vzájemné inspirace a dalšího vzdělávání v oboru.</w:t>
      </w:r>
      <w:r w:rsidRPr="00FD1E19">
        <w:rPr>
          <w:rFonts w:ascii="Verdana" w:eastAsia="Times New Roman" w:hAnsi="Verdana"/>
          <w:color w:val="800000"/>
          <w:sz w:val="17"/>
          <w:szCs w:val="17"/>
          <w:lang w:eastAsia="cs-CZ"/>
        </w:rPr>
        <w:br/>
        <w:t>Všechna kola přehlídky by měla probíhat v atmosféře přátelského pracovního setkání a podle možností mohou být doplněna podnětným programem pro účastníky (hlasové rozcvičky, dílny, diskuse, hry apod.) a vzdělávacími akcemi pro dospělé účastníky. Pořadatel přehlídky by měl vytvořit pro vystoupení recitátorů co nejpříznivější podmínky, tedy i potlačit nezdravou soutěžní atmosféru a rivalitu mezi recitátory.</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17"/>
          <w:lang w:eastAsia="cs-CZ"/>
        </w:rPr>
        <w:t>II. PODMÍNKY ÚČASTI</w:t>
      </w:r>
      <w:r w:rsidRPr="00FD1E19">
        <w:rPr>
          <w:rFonts w:ascii="Verdana" w:eastAsia="Times New Roman" w:hAnsi="Verdana"/>
          <w:b/>
          <w:bCs/>
          <w:color w:val="800000"/>
          <w:sz w:val="17"/>
          <w:szCs w:val="17"/>
          <w:lang w:eastAsia="cs-CZ"/>
        </w:rPr>
        <w:br/>
      </w:r>
      <w:r w:rsidRPr="00FD1E19">
        <w:rPr>
          <w:rFonts w:ascii="Verdana" w:eastAsia="Times New Roman" w:hAnsi="Verdana"/>
          <w:color w:val="800000"/>
          <w:sz w:val="17"/>
          <w:szCs w:val="17"/>
          <w:lang w:eastAsia="cs-CZ"/>
        </w:rPr>
        <w:t>Přehlídky se mohou zúčastnit jednotlivci ze základních škol, nižších stupňů gymnázií, základních uměleckých škol, domů dětí a mládeže a dalších institucí. Přihlašují se u organizátorů školního kola, popřípadě přímo u pořadatele oblastního (okresního, obvodního) kola.</w:t>
      </w:r>
      <w:r w:rsidRPr="00FD1E19">
        <w:rPr>
          <w:rFonts w:ascii="Verdana" w:eastAsia="Times New Roman" w:hAnsi="Verdana"/>
          <w:color w:val="800000"/>
          <w:sz w:val="17"/>
          <w:szCs w:val="17"/>
          <w:lang w:eastAsia="cs-CZ"/>
        </w:rPr>
        <w:br/>
        <w:t>Pro zařazení do příslušné věkové kategorie je rozhodující postupný ročník ZŠ nebo odpovídající ročník víceletého gymnázia:</w:t>
      </w:r>
      <w:r w:rsidRPr="00FD1E19">
        <w:rPr>
          <w:rFonts w:ascii="Verdana" w:eastAsia="Times New Roman" w:hAnsi="Verdana"/>
          <w:color w:val="800000"/>
          <w:sz w:val="17"/>
          <w:szCs w:val="17"/>
          <w:lang w:eastAsia="cs-CZ"/>
        </w:rPr>
        <w:br/>
      </w:r>
      <w:r w:rsidRPr="00FD1E19">
        <w:rPr>
          <w:rFonts w:ascii="Verdana" w:eastAsia="Times New Roman" w:hAnsi="Verdana"/>
          <w:b/>
          <w:bCs/>
          <w:color w:val="800000"/>
          <w:sz w:val="17"/>
          <w:lang w:eastAsia="cs-CZ"/>
        </w:rPr>
        <w:t>1. věková kategorie</w:t>
      </w:r>
      <w:r w:rsidRPr="00FD1E19">
        <w:rPr>
          <w:rFonts w:ascii="Verdana" w:eastAsia="Times New Roman" w:hAnsi="Verdana"/>
          <w:color w:val="800000"/>
          <w:sz w:val="17"/>
          <w:lang w:eastAsia="cs-CZ"/>
        </w:rPr>
        <w:t> </w:t>
      </w:r>
      <w:r w:rsidRPr="00FD1E19">
        <w:rPr>
          <w:rFonts w:ascii="Verdana" w:eastAsia="Times New Roman" w:hAnsi="Verdana"/>
          <w:color w:val="800000"/>
          <w:sz w:val="17"/>
          <w:szCs w:val="17"/>
          <w:lang w:eastAsia="cs-CZ"/>
        </w:rPr>
        <w:t>– žáci 2.–3. ročníků základních škol (končí na úrovni kraje, nepostupuje na Dětskou scénu),</w:t>
      </w:r>
      <w:r w:rsidRPr="00FD1E19">
        <w:rPr>
          <w:rFonts w:ascii="Verdana" w:eastAsia="Times New Roman" w:hAnsi="Verdana"/>
          <w:color w:val="800000"/>
          <w:sz w:val="17"/>
          <w:szCs w:val="17"/>
          <w:lang w:eastAsia="cs-CZ"/>
        </w:rPr>
        <w:br/>
      </w:r>
      <w:r w:rsidRPr="00FD1E19">
        <w:rPr>
          <w:rFonts w:ascii="Verdana" w:eastAsia="Times New Roman" w:hAnsi="Verdana"/>
          <w:b/>
          <w:bCs/>
          <w:color w:val="800000"/>
          <w:sz w:val="17"/>
          <w:lang w:eastAsia="cs-CZ"/>
        </w:rPr>
        <w:t>2. věková kategorie</w:t>
      </w:r>
      <w:r w:rsidRPr="00FD1E19">
        <w:rPr>
          <w:rFonts w:ascii="Verdana" w:eastAsia="Times New Roman" w:hAnsi="Verdana"/>
          <w:color w:val="800000"/>
          <w:sz w:val="17"/>
          <w:lang w:eastAsia="cs-CZ"/>
        </w:rPr>
        <w:t> </w:t>
      </w:r>
      <w:r w:rsidRPr="00FD1E19">
        <w:rPr>
          <w:rFonts w:ascii="Verdana" w:eastAsia="Times New Roman" w:hAnsi="Verdana"/>
          <w:color w:val="800000"/>
          <w:sz w:val="17"/>
          <w:szCs w:val="17"/>
          <w:lang w:eastAsia="cs-CZ"/>
        </w:rPr>
        <w:t>– žáci 4.–5. ročníků základních škol,</w:t>
      </w:r>
      <w:r w:rsidRPr="00FD1E19">
        <w:rPr>
          <w:rFonts w:ascii="Verdana" w:eastAsia="Times New Roman" w:hAnsi="Verdana"/>
          <w:color w:val="800000"/>
          <w:sz w:val="17"/>
          <w:szCs w:val="17"/>
          <w:lang w:eastAsia="cs-CZ"/>
        </w:rPr>
        <w:br/>
      </w:r>
      <w:r w:rsidRPr="00FD1E19">
        <w:rPr>
          <w:rFonts w:ascii="Verdana" w:eastAsia="Times New Roman" w:hAnsi="Verdana"/>
          <w:b/>
          <w:bCs/>
          <w:color w:val="800000"/>
          <w:sz w:val="17"/>
          <w:lang w:eastAsia="cs-CZ"/>
        </w:rPr>
        <w:t>3. věková kategorie</w:t>
      </w:r>
      <w:r w:rsidRPr="00FD1E19">
        <w:rPr>
          <w:rFonts w:ascii="Verdana" w:eastAsia="Times New Roman" w:hAnsi="Verdana"/>
          <w:color w:val="800000"/>
          <w:sz w:val="17"/>
          <w:lang w:eastAsia="cs-CZ"/>
        </w:rPr>
        <w:t> </w:t>
      </w:r>
      <w:r w:rsidRPr="00FD1E19">
        <w:rPr>
          <w:rFonts w:ascii="Verdana" w:eastAsia="Times New Roman" w:hAnsi="Verdana"/>
          <w:color w:val="800000"/>
          <w:sz w:val="17"/>
          <w:szCs w:val="17"/>
          <w:lang w:eastAsia="cs-CZ"/>
        </w:rPr>
        <w:t>– žáci 6.–7. ročníků základních škol a příslušných ročníků víceletých gymnázií,</w:t>
      </w:r>
      <w:r w:rsidRPr="00FD1E19">
        <w:rPr>
          <w:rFonts w:ascii="Verdana" w:eastAsia="Times New Roman" w:hAnsi="Verdana"/>
          <w:color w:val="800000"/>
          <w:sz w:val="17"/>
          <w:szCs w:val="17"/>
          <w:lang w:eastAsia="cs-CZ"/>
        </w:rPr>
        <w:br/>
      </w:r>
      <w:r w:rsidRPr="00FD1E19">
        <w:rPr>
          <w:rFonts w:ascii="Verdana" w:eastAsia="Times New Roman" w:hAnsi="Verdana"/>
          <w:b/>
          <w:bCs/>
          <w:color w:val="800000"/>
          <w:sz w:val="17"/>
          <w:lang w:eastAsia="cs-CZ"/>
        </w:rPr>
        <w:t>4. věková kategorie</w:t>
      </w:r>
      <w:r w:rsidRPr="00FD1E19">
        <w:rPr>
          <w:rFonts w:ascii="Verdana" w:eastAsia="Times New Roman" w:hAnsi="Verdana"/>
          <w:color w:val="800000"/>
          <w:sz w:val="17"/>
          <w:lang w:eastAsia="cs-CZ"/>
        </w:rPr>
        <w:t> </w:t>
      </w:r>
      <w:r w:rsidRPr="00FD1E19">
        <w:rPr>
          <w:rFonts w:ascii="Verdana" w:eastAsia="Times New Roman" w:hAnsi="Verdana"/>
          <w:color w:val="800000"/>
          <w:sz w:val="17"/>
          <w:szCs w:val="17"/>
          <w:lang w:eastAsia="cs-CZ"/>
        </w:rPr>
        <w:t>– žáci 8.–9. ročníků základních škol a příslušných ročníků víceletých gymnázií.</w:t>
      </w:r>
      <w:r w:rsidRPr="00FD1E19">
        <w:rPr>
          <w:rFonts w:ascii="Verdana" w:eastAsia="Times New Roman" w:hAnsi="Verdana"/>
          <w:color w:val="800000"/>
          <w:sz w:val="17"/>
          <w:szCs w:val="17"/>
          <w:lang w:eastAsia="cs-CZ"/>
        </w:rPr>
        <w:br/>
        <w:t>Je přínosné, aby pořadatelé školních, oblastních, popř. krajských kol zřídili i nultou kategorii pro žáky 1. ročníků ZŠ, která ale není postupová.</w:t>
      </w:r>
      <w:r w:rsidRPr="00FD1E19">
        <w:rPr>
          <w:rFonts w:ascii="Verdana" w:eastAsia="Times New Roman" w:hAnsi="Verdana"/>
          <w:color w:val="800000"/>
          <w:sz w:val="17"/>
          <w:szCs w:val="17"/>
          <w:lang w:eastAsia="cs-CZ"/>
        </w:rPr>
        <w:br/>
        <w:t>Sólisté 1. a 2. kategorie se hlásí na přehlídku pouze s jedním textem. Sólisté 3. a 4. kategorie mají připraveny dva texty. Záleží na pořadatelích postupového kola, zda budou požadovat druhý text od všech recitátorů, nebo jen od těch, kteří po přednesu prvního textu aspirují na postup či jiné ocenění. V případě postupu do celostátního kola už je ale podmínkou kvalitní zvládnutí obou textů. Účastníci jsou s principem použití druhých textů předem seznámeni.</w:t>
      </w:r>
      <w:r w:rsidRPr="00FD1E19">
        <w:rPr>
          <w:rFonts w:ascii="Verdana" w:eastAsia="Times New Roman" w:hAnsi="Verdana"/>
          <w:color w:val="800000"/>
          <w:sz w:val="17"/>
          <w:szCs w:val="17"/>
          <w:lang w:eastAsia="cs-CZ"/>
        </w:rPr>
        <w:br/>
        <w:t>Délka vystoupení by měla být úměrná věku a schopnostem recitátora, maximálně ale 5 minut u 1. a 2. kategorie a 7 minut u 3. a 4. kategorie pro jeden text (poezii či prózu). Vzhledem k ryze interpretační povaze přehlídky není vhodné, aby recitátor vystupoval se svým vlastním (autorským) textem. Na přehlídce vystupují přednašeči výhradně s texty, s nimiž byli vybráni lektorským sborem nižšího postupového kola. Recitátor nesmí na přehlídce vystupovat se stejným textem jako v předchozím roce. Se sólovým přednašečem se Celostátní přehlídky dětských recitátorů a jejích postupových kol zúčastní pokud možno pedagog, který přednašeče připravoval.</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17"/>
          <w:lang w:eastAsia="cs-CZ"/>
        </w:rPr>
        <w:t>III. ORGANIZACE A PRŮBĚH</w:t>
      </w:r>
      <w:r w:rsidRPr="00FD1E19">
        <w:rPr>
          <w:rFonts w:ascii="Verdana" w:eastAsia="Times New Roman" w:hAnsi="Verdana"/>
          <w:color w:val="800000"/>
          <w:sz w:val="17"/>
          <w:szCs w:val="17"/>
          <w:lang w:eastAsia="cs-CZ"/>
        </w:rPr>
        <w:br/>
        <w:t>Školní kola probíhají zpravidla na základních školách, realizaci oblastních a krajských kol zabezpečují různé školské nebo kulturní instituce (ZUŠ, ZŠ, DDM, SVČ, kulturní střediska apod.). Organizátoři připravují přehlídku vždy v koordinaci s pořadateli přehlídky nižšího stupně (termíny, přihlášky). Přehlídky lze pořádat společně s přehlídkami dětského divadla. Pořadatelé krajských kol konzultují vyhlášení a termín přehlídky s odborným pracovníkem NIPOS-ARTAMA. Vydávají zpravidla vlastní propozice přizpůsobené specifickým podmínkám v místě (počet postupujících z oblastních kol apod.). Organizátoři školních a oblastních (okresních, obvodních) kol dodržují pravidla stanovená těmito propozicemi. V případě jejich nedodržení není pořadatel krajské přehlídky povinen respektovat návrh na postup recitátorů z nižšího postupového kola.</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V roce 2015 by měla jednotlivá kola přehlídky proběhnout v těchto termínech:</w:t>
      </w:r>
      <w:r w:rsidRPr="00FD1E19">
        <w:rPr>
          <w:rFonts w:ascii="Verdana" w:eastAsia="Times New Roman" w:hAnsi="Verdana"/>
          <w:color w:val="800000"/>
          <w:sz w:val="17"/>
          <w:szCs w:val="17"/>
          <w:lang w:eastAsia="cs-CZ"/>
        </w:rPr>
        <w:br/>
        <w:t>Školní kola:</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do 22. února 2015</w:t>
      </w:r>
      <w:r w:rsidRPr="00FD1E19">
        <w:rPr>
          <w:rFonts w:ascii="Verdana" w:eastAsia="Times New Roman" w:hAnsi="Verdana"/>
          <w:color w:val="800000"/>
          <w:sz w:val="17"/>
          <w:szCs w:val="17"/>
          <w:lang w:eastAsia="cs-CZ"/>
        </w:rPr>
        <w:t>.</w:t>
      </w:r>
      <w:r w:rsidRPr="00FD1E19">
        <w:rPr>
          <w:rFonts w:ascii="Verdana" w:eastAsia="Times New Roman" w:hAnsi="Verdana"/>
          <w:color w:val="800000"/>
          <w:sz w:val="17"/>
          <w:szCs w:val="17"/>
          <w:lang w:eastAsia="cs-CZ"/>
        </w:rPr>
        <w:br/>
        <w:t>Oblastní (okresní), popř. obvodní kola:</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do 29. března 2015</w:t>
      </w:r>
      <w:r w:rsidRPr="00FD1E19">
        <w:rPr>
          <w:rFonts w:ascii="Verdana" w:eastAsia="Times New Roman" w:hAnsi="Verdana"/>
          <w:color w:val="800000"/>
          <w:sz w:val="17"/>
          <w:szCs w:val="17"/>
          <w:lang w:eastAsia="cs-CZ"/>
        </w:rPr>
        <w:t>.</w:t>
      </w:r>
      <w:r w:rsidRPr="00FD1E19">
        <w:rPr>
          <w:rFonts w:ascii="Verdana" w:eastAsia="Times New Roman" w:hAnsi="Verdana"/>
          <w:color w:val="800000"/>
          <w:sz w:val="17"/>
          <w:szCs w:val="17"/>
          <w:lang w:eastAsia="cs-CZ"/>
        </w:rPr>
        <w:br/>
        <w:t>Krajská kola:</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do 3. května 2015</w:t>
      </w:r>
      <w:r w:rsidRPr="00FD1E19">
        <w:rPr>
          <w:rFonts w:ascii="Verdana" w:eastAsia="Times New Roman" w:hAnsi="Verdana"/>
          <w:color w:val="800000"/>
          <w:sz w:val="17"/>
          <w:szCs w:val="17"/>
          <w:lang w:eastAsia="cs-CZ"/>
        </w:rPr>
        <w:t>.</w:t>
      </w:r>
      <w:r w:rsidRPr="00FD1E19">
        <w:rPr>
          <w:rFonts w:ascii="Verdana" w:eastAsia="Times New Roman" w:hAnsi="Verdana"/>
          <w:color w:val="800000"/>
          <w:sz w:val="17"/>
          <w:szCs w:val="17"/>
          <w:lang w:eastAsia="cs-CZ"/>
        </w:rPr>
        <w:br/>
        <w:t>Celostátní přehlídka dětských recitátorů se koná společně s Celostátní přehlídkou dětského divadla v rámci přehlídky Dětská scéna 2015 ve dnech</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12.–18. června 2015</w:t>
      </w:r>
      <w:r w:rsidRPr="00FD1E19">
        <w:rPr>
          <w:rFonts w:ascii="Verdana" w:eastAsia="Times New Roman" w:hAnsi="Verdana"/>
          <w:color w:val="800000"/>
          <w:sz w:val="17"/>
          <w:szCs w:val="17"/>
          <w:lang w:eastAsia="cs-CZ"/>
        </w:rPr>
        <w:t>.</w:t>
      </w:r>
      <w:r w:rsidRPr="00FD1E19">
        <w:rPr>
          <w:rFonts w:ascii="Verdana" w:eastAsia="Times New Roman" w:hAnsi="Verdana"/>
          <w:color w:val="800000"/>
          <w:sz w:val="17"/>
          <w:szCs w:val="17"/>
          <w:lang w:eastAsia="cs-CZ"/>
        </w:rPr>
        <w:br/>
        <w:t>Oblastní (okresní, obvodní) kola se mohou po dohodě s pořadatelem příslušného krajského kola konat i v pozdějším termínu, než jak je stanoveno v těchto propozicích.</w:t>
      </w:r>
      <w:r w:rsidRPr="00FD1E19">
        <w:rPr>
          <w:rFonts w:ascii="Verdana" w:eastAsia="Times New Roman" w:hAnsi="Verdana"/>
          <w:color w:val="800000"/>
          <w:sz w:val="17"/>
          <w:szCs w:val="17"/>
          <w:lang w:eastAsia="cs-CZ"/>
        </w:rPr>
        <w:br/>
        <w:t xml:space="preserve">Vzhledem k tomu, že se řada recitátorů věnuje také práci v dětském recitačním či divadelním souboru, je </w:t>
      </w:r>
      <w:r w:rsidRPr="00FD1E19">
        <w:rPr>
          <w:rFonts w:ascii="Verdana" w:eastAsia="Times New Roman" w:hAnsi="Verdana"/>
          <w:color w:val="800000"/>
          <w:sz w:val="17"/>
          <w:szCs w:val="17"/>
          <w:lang w:eastAsia="cs-CZ"/>
        </w:rPr>
        <w:lastRenderedPageBreak/>
        <w:t>třeba, aby pořadatelé krajských přehlídek dětských recitátorů a dětského divadla koordinovali termíny tak, aby se přehlídky nepřekrývaly.</w:t>
      </w:r>
      <w:r w:rsidRPr="00FD1E19">
        <w:rPr>
          <w:rFonts w:ascii="Verdana" w:eastAsia="Times New Roman" w:hAnsi="Verdana"/>
          <w:color w:val="800000"/>
          <w:sz w:val="17"/>
          <w:szCs w:val="17"/>
          <w:lang w:eastAsia="cs-CZ"/>
        </w:rPr>
        <w:br/>
        <w:t>Součástí každého kola je hodnocení recitačních vystoupení. Lektorský sbor by měl s recitátory a jejich pedagogy přiměřenou formou promluvit o základních kladech a problémech jejich vystoupení. Pro zkvalitnění oblastních a krajských přehlídek dětských sólových recitátorů lze doporučit pořádání praktických dílen pro recitátory i pro pedagogické pracovníky pod vedením zkušených lektorů.</w:t>
      </w:r>
      <w:r w:rsidRPr="00FD1E19">
        <w:rPr>
          <w:rFonts w:ascii="Verdana" w:eastAsia="Times New Roman" w:hAnsi="Verdana"/>
          <w:color w:val="800000"/>
          <w:sz w:val="17"/>
          <w:szCs w:val="17"/>
          <w:lang w:eastAsia="cs-CZ"/>
        </w:rPr>
        <w:br/>
        <w:t>Doporučení na lektory pro poroty, semináře či dílny lze získat v Centru estetických aktivit dětí a mládeže NIPOS-ARTAMA.</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17"/>
          <w:lang w:eastAsia="cs-CZ"/>
        </w:rPr>
        <w:t>IV. HODNOCENÍ A VÝBĚR</w:t>
      </w:r>
      <w:r w:rsidRPr="00FD1E19">
        <w:rPr>
          <w:rFonts w:ascii="Verdana" w:eastAsia="Times New Roman" w:hAnsi="Verdana"/>
          <w:color w:val="800000"/>
          <w:sz w:val="17"/>
          <w:szCs w:val="17"/>
          <w:lang w:eastAsia="cs-CZ"/>
        </w:rPr>
        <w:br/>
        <w:t>Pořadatelé na všech stupních (počínaje školními koly) jmenují nejméně tříčlenné lektorské sbory (odborné poroty). Jejich členy jsou odborníci z oblasti dětského přednesu a dramatické výchovy, doplnění o další osoby, které se ve své práci zabývají recitací a mluveným projevem (např. zkušení a tvořiví pedagogové, dospělí recitátoři). Jejich členy nemohou být pedagogové, kteří připravovali recitátora, jenž se přehlídky účastní. V každém lektorském sboru musí být nejméně jeden odborník, který se v posledních třech letech aspoň jednou zúčastnil přehlídky vyššího stupně, pro niž lektorský sbor recitátora vybírá. Centrum estetických aktivit dětí a mládeže NIPOS-ARTAMA na požádání tyto odborníky doporučí.</w:t>
      </w:r>
      <w:r w:rsidRPr="00FD1E19">
        <w:rPr>
          <w:rFonts w:ascii="Verdana" w:eastAsia="Times New Roman" w:hAnsi="Verdana"/>
          <w:color w:val="800000"/>
          <w:sz w:val="17"/>
          <w:szCs w:val="17"/>
          <w:lang w:eastAsia="cs-CZ"/>
        </w:rPr>
        <w:br/>
        <w:t>Mezi hlavní kritéria hodnocení a výběru recitátorů do vyšších kol patří zejména:</w:t>
      </w:r>
    </w:p>
    <w:p w:rsidR="00FD1E19" w:rsidRPr="00FD1E19" w:rsidRDefault="00FD1E19" w:rsidP="00FD1E19">
      <w:pPr>
        <w:numPr>
          <w:ilvl w:val="0"/>
          <w:numId w:val="3"/>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přirozenost dětského projevu a vybavenost recitátora,</w:t>
      </w:r>
    </w:p>
    <w:p w:rsidR="00FD1E19" w:rsidRPr="00FD1E19" w:rsidRDefault="00FD1E19" w:rsidP="00FD1E19">
      <w:pPr>
        <w:numPr>
          <w:ilvl w:val="0"/>
          <w:numId w:val="3"/>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umělecká hodnota textu, přiměřená interpretační úrovni dítěte,</w:t>
      </w:r>
    </w:p>
    <w:p w:rsidR="00FD1E19" w:rsidRPr="00FD1E19" w:rsidRDefault="00FD1E19" w:rsidP="00FD1E19">
      <w:pPr>
        <w:numPr>
          <w:ilvl w:val="0"/>
          <w:numId w:val="3"/>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schopnost uchopit text a tvořivě ho interpretovat,</w:t>
      </w:r>
    </w:p>
    <w:p w:rsidR="00FD1E19" w:rsidRPr="00FD1E19" w:rsidRDefault="00FD1E19" w:rsidP="00FD1E19">
      <w:pPr>
        <w:numPr>
          <w:ilvl w:val="0"/>
          <w:numId w:val="3"/>
        </w:num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celková úroveň a kultura projevu.</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color w:val="800000"/>
          <w:sz w:val="17"/>
          <w:szCs w:val="17"/>
          <w:lang w:eastAsia="cs-CZ"/>
        </w:rPr>
        <w:t>Lektorský sbor krajského kola při hodnocení nestanovuje pořadí, ale pro postup do vyššího kola doporučí nejvýše</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dvě nejlepší či nejinspirativnější recitační vystoupení z každé postupové kategorie</w:t>
      </w:r>
      <w:r w:rsidRPr="00FD1E19">
        <w:rPr>
          <w:rFonts w:ascii="Verdana" w:eastAsia="Times New Roman" w:hAnsi="Verdana"/>
          <w:color w:val="800000"/>
          <w:sz w:val="17"/>
          <w:szCs w:val="17"/>
          <w:lang w:eastAsia="cs-CZ"/>
        </w:rPr>
        <w:t>. Jedním z kritérií postupu z krajského kola může být i předpokládaný přínos vystoupení z hlediska dramaturgie celostátní přehlídky. Pořadatelé přehlídek určených pro dva kraje mají právo samostatných doporučení za každý kraj.</w:t>
      </w:r>
      <w:r w:rsidRPr="00FD1E19">
        <w:rPr>
          <w:rFonts w:ascii="Verdana" w:eastAsia="Times New Roman" w:hAnsi="Verdana"/>
          <w:color w:val="800000"/>
          <w:sz w:val="17"/>
          <w:szCs w:val="17"/>
          <w:lang w:eastAsia="cs-CZ"/>
        </w:rPr>
        <w:br/>
        <w:t>Pro postup ze školního či oblastního kola platí stejná pravidla,</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počet postupujících recitátorů ale může být po dohodě mezi pořadateli postupových přehlídek vyšší</w:t>
      </w:r>
      <w:r w:rsidRPr="00FD1E19">
        <w:rPr>
          <w:rFonts w:ascii="Verdana" w:eastAsia="Times New Roman" w:hAnsi="Verdana"/>
          <w:color w:val="800000"/>
          <w:sz w:val="17"/>
          <w:szCs w:val="17"/>
          <w:lang w:eastAsia="cs-CZ"/>
        </w:rPr>
        <w:t>.</w:t>
      </w:r>
      <w:r w:rsidRPr="00FD1E19">
        <w:rPr>
          <w:rFonts w:ascii="Verdana" w:eastAsia="Times New Roman" w:hAnsi="Verdana"/>
          <w:color w:val="800000"/>
          <w:sz w:val="17"/>
          <w:szCs w:val="17"/>
          <w:lang w:eastAsia="cs-CZ"/>
        </w:rPr>
        <w:br/>
        <w:t>Po skončení krajské přehlídky doručí její pořadatel vyplněný evidenční list recitátora, stručné hodnocení recitačního vystoupení (formuláře vydává Centrum estetických aktivit dětí a mládeže ARTAMA) a jeden výtisk textu recitačního vystoupení (v případě zásahů do textu nejlépe kopii originální předlohy s vyznačenými škrty a úpravami) na adresu:</w:t>
      </w:r>
      <w:r w:rsidRPr="00FD1E19">
        <w:rPr>
          <w:rFonts w:ascii="Verdana" w:eastAsia="Times New Roman" w:hAnsi="Verdana"/>
          <w:color w:val="800000"/>
          <w:sz w:val="17"/>
          <w:szCs w:val="17"/>
          <w:lang w:eastAsia="cs-CZ"/>
        </w:rPr>
        <w:br/>
      </w:r>
      <w:r w:rsidRPr="00FD1E19">
        <w:rPr>
          <w:rFonts w:ascii="Verdana" w:eastAsia="Times New Roman" w:hAnsi="Verdana"/>
          <w:i/>
          <w:iCs/>
          <w:color w:val="800000"/>
          <w:sz w:val="17"/>
          <w:lang w:eastAsia="cs-CZ"/>
        </w:rPr>
        <w:t>NIPOS-ARTAMA, Jakub Hulák, P. O. BOX 12 / Fügnerovo nám. 5, 120 21 Praha 2, e-mail: hulak@nipos-mk.cz (tel.: 221 507 969)</w:t>
      </w:r>
      <w:r w:rsidRPr="00FD1E19">
        <w:rPr>
          <w:rFonts w:ascii="Verdana" w:eastAsia="Times New Roman" w:hAnsi="Verdana"/>
          <w:color w:val="800000"/>
          <w:sz w:val="17"/>
          <w:szCs w:val="17"/>
          <w:lang w:eastAsia="cs-CZ"/>
        </w:rPr>
        <w:t>, a to nejpozději</w:t>
      </w:r>
      <w:r w:rsidRPr="00FD1E19">
        <w:rPr>
          <w:rFonts w:ascii="Verdana" w:eastAsia="Times New Roman" w:hAnsi="Verdana"/>
          <w:color w:val="800000"/>
          <w:sz w:val="17"/>
          <w:lang w:eastAsia="cs-CZ"/>
        </w:rPr>
        <w:t> </w:t>
      </w:r>
      <w:r w:rsidRPr="00FD1E19">
        <w:rPr>
          <w:rFonts w:ascii="Verdana" w:eastAsia="Times New Roman" w:hAnsi="Verdana"/>
          <w:b/>
          <w:bCs/>
          <w:color w:val="800000"/>
          <w:sz w:val="17"/>
          <w:lang w:eastAsia="cs-CZ"/>
        </w:rPr>
        <w:t>do 5. května 2015</w:t>
      </w:r>
      <w:r w:rsidRPr="00FD1E19">
        <w:rPr>
          <w:rFonts w:ascii="Verdana" w:eastAsia="Times New Roman" w:hAnsi="Verdana"/>
          <w:color w:val="800000"/>
          <w:sz w:val="17"/>
          <w:szCs w:val="17"/>
          <w:lang w:eastAsia="cs-CZ"/>
        </w:rPr>
        <w:t>.</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b/>
          <w:bCs/>
          <w:color w:val="800000"/>
          <w:sz w:val="17"/>
          <w:lang w:eastAsia="cs-CZ"/>
        </w:rPr>
        <w:t>V. ZÁVĚREČNÁ USTANOVENÍ</w:t>
      </w:r>
      <w:r w:rsidRPr="00FD1E19">
        <w:rPr>
          <w:rFonts w:ascii="Verdana" w:eastAsia="Times New Roman" w:hAnsi="Verdana"/>
          <w:color w:val="800000"/>
          <w:sz w:val="17"/>
          <w:szCs w:val="17"/>
          <w:lang w:eastAsia="cs-CZ"/>
        </w:rPr>
        <w:br/>
        <w:t>V zájmu koordinace krajských kol dodržuje pořadatel přehlídky pravidla daná těmito propozicemi a konzultuje vyhlášení a přípravu přehlídky s odborným pracovníkem NIPOS-ARTAMA. V případě nedodržení pravidel ze strany pořadatele přehlídky není programová rada DS povinna respektovat návrhy na postup recitátorů z krajského kola.</w:t>
      </w:r>
      <w:r w:rsidRPr="00FD1E19">
        <w:rPr>
          <w:rFonts w:ascii="Verdana" w:eastAsia="Times New Roman" w:hAnsi="Verdana"/>
          <w:color w:val="800000"/>
          <w:sz w:val="17"/>
          <w:szCs w:val="17"/>
          <w:lang w:eastAsia="cs-CZ"/>
        </w:rPr>
        <w:br/>
        <w:t>V případě ekonomických potíží může být program recitační přehlídky omezen nebo může být přehlídka odvolána.</w:t>
      </w:r>
    </w:p>
    <w:p w:rsidR="00FD1E19" w:rsidRPr="00FD1E19" w:rsidRDefault="00FD1E19" w:rsidP="00FD1E19">
      <w:pPr>
        <w:spacing w:before="100" w:beforeAutospacing="1" w:after="100" w:afterAutospacing="1"/>
        <w:rPr>
          <w:rFonts w:ascii="Verdana" w:eastAsia="Times New Roman" w:hAnsi="Verdana"/>
          <w:color w:val="800000"/>
          <w:sz w:val="17"/>
          <w:szCs w:val="17"/>
          <w:lang w:eastAsia="cs-CZ"/>
        </w:rPr>
      </w:pPr>
      <w:r w:rsidRPr="00FD1E19">
        <w:rPr>
          <w:rFonts w:ascii="Verdana" w:eastAsia="Times New Roman" w:hAnsi="Verdana"/>
          <w:i/>
          <w:iCs/>
          <w:color w:val="800000"/>
          <w:sz w:val="17"/>
          <w:lang w:eastAsia="cs-CZ"/>
        </w:rPr>
        <w:t>Zpracoval Jakub Hulák</w:t>
      </w:r>
      <w:r w:rsidRPr="00FD1E19">
        <w:rPr>
          <w:rFonts w:ascii="Verdana" w:eastAsia="Times New Roman" w:hAnsi="Verdana"/>
          <w:color w:val="800000"/>
          <w:sz w:val="17"/>
          <w:szCs w:val="17"/>
          <w:lang w:eastAsia="cs-CZ"/>
        </w:rPr>
        <w:br/>
      </w:r>
      <w:r w:rsidRPr="00FD1E19">
        <w:rPr>
          <w:rFonts w:ascii="Verdana" w:eastAsia="Times New Roman" w:hAnsi="Verdana"/>
          <w:i/>
          <w:iCs/>
          <w:color w:val="800000"/>
          <w:sz w:val="17"/>
          <w:lang w:eastAsia="cs-CZ"/>
        </w:rPr>
        <w:t>NIPOS-ARTAMA, listopad 2014</w:t>
      </w:r>
    </w:p>
    <w:p w:rsidR="00403403" w:rsidRDefault="00403403"/>
    <w:sectPr w:rsidR="00403403" w:rsidSect="0040340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0A2B2B"/>
    <w:multiLevelType w:val="multilevel"/>
    <w:tmpl w:val="9136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E144DF"/>
    <w:multiLevelType w:val="multilevel"/>
    <w:tmpl w:val="A7087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B229B5"/>
    <w:multiLevelType w:val="multilevel"/>
    <w:tmpl w:val="72E40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FD1E19"/>
    <w:rsid w:val="00011C21"/>
    <w:rsid w:val="001D08F0"/>
    <w:rsid w:val="001E3116"/>
    <w:rsid w:val="0024498C"/>
    <w:rsid w:val="002B66CB"/>
    <w:rsid w:val="0034011C"/>
    <w:rsid w:val="003D179B"/>
    <w:rsid w:val="00403403"/>
    <w:rsid w:val="00416A99"/>
    <w:rsid w:val="00435919"/>
    <w:rsid w:val="00443BBE"/>
    <w:rsid w:val="0056404F"/>
    <w:rsid w:val="00636C00"/>
    <w:rsid w:val="0065593E"/>
    <w:rsid w:val="006D59C2"/>
    <w:rsid w:val="008372C0"/>
    <w:rsid w:val="008C2BF1"/>
    <w:rsid w:val="009E7E66"/>
    <w:rsid w:val="00AA779E"/>
    <w:rsid w:val="00C24ADD"/>
    <w:rsid w:val="00C36414"/>
    <w:rsid w:val="00C41A95"/>
    <w:rsid w:val="00CA252F"/>
    <w:rsid w:val="00CC1CF5"/>
    <w:rsid w:val="00D969A6"/>
    <w:rsid w:val="00EC603D"/>
    <w:rsid w:val="00F17393"/>
    <w:rsid w:val="00F4415F"/>
    <w:rsid w:val="00FB3423"/>
    <w:rsid w:val="00FD0ACC"/>
    <w:rsid w:val="00FD1E19"/>
    <w:rsid w:val="00FE216F"/>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03403"/>
  </w:style>
  <w:style w:type="paragraph" w:styleId="Nadpis2">
    <w:name w:val="heading 2"/>
    <w:basedOn w:val="Normln"/>
    <w:link w:val="Nadpis2Char"/>
    <w:uiPriority w:val="9"/>
    <w:qFormat/>
    <w:rsid w:val="00FD1E19"/>
    <w:pPr>
      <w:spacing w:before="100" w:beforeAutospacing="1" w:after="100" w:afterAutospacing="1"/>
      <w:outlineLvl w:val="1"/>
    </w:pPr>
    <w:rPr>
      <w:rFonts w:eastAsia="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FD1E19"/>
    <w:rPr>
      <w:rFonts w:eastAsia="Times New Roman"/>
      <w:b/>
      <w:bCs/>
      <w:sz w:val="36"/>
      <w:szCs w:val="36"/>
      <w:lang w:eastAsia="cs-CZ"/>
    </w:rPr>
  </w:style>
  <w:style w:type="paragraph" w:styleId="Normlnweb">
    <w:name w:val="Normal (Web)"/>
    <w:basedOn w:val="Normln"/>
    <w:uiPriority w:val="99"/>
    <w:semiHidden/>
    <w:unhideWhenUsed/>
    <w:rsid w:val="00FD1E19"/>
    <w:pPr>
      <w:spacing w:before="100" w:beforeAutospacing="1" w:after="100" w:afterAutospacing="1"/>
    </w:pPr>
    <w:rPr>
      <w:rFonts w:eastAsia="Times New Roman"/>
      <w:lang w:eastAsia="cs-CZ"/>
    </w:rPr>
  </w:style>
  <w:style w:type="character" w:styleId="Siln">
    <w:name w:val="Strong"/>
    <w:basedOn w:val="Standardnpsmoodstavce"/>
    <w:uiPriority w:val="22"/>
    <w:qFormat/>
    <w:rsid w:val="00FD1E19"/>
    <w:rPr>
      <w:b/>
      <w:bCs/>
    </w:rPr>
  </w:style>
  <w:style w:type="character" w:customStyle="1" w:styleId="apple-converted-space">
    <w:name w:val="apple-converted-space"/>
    <w:basedOn w:val="Standardnpsmoodstavce"/>
    <w:rsid w:val="00FD1E19"/>
  </w:style>
  <w:style w:type="character" w:styleId="Zvraznn">
    <w:name w:val="Emphasis"/>
    <w:basedOn w:val="Standardnpsmoodstavce"/>
    <w:uiPriority w:val="20"/>
    <w:qFormat/>
    <w:rsid w:val="00FD1E19"/>
    <w:rPr>
      <w:i/>
      <w:iCs/>
    </w:rPr>
  </w:style>
</w:styles>
</file>

<file path=word/webSettings.xml><?xml version="1.0" encoding="utf-8"?>
<w:webSettings xmlns:r="http://schemas.openxmlformats.org/officeDocument/2006/relationships" xmlns:w="http://schemas.openxmlformats.org/wordprocessingml/2006/main">
  <w:divs>
    <w:div w:id="710302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2367</Words>
  <Characters>13970</Characters>
  <Application>Microsoft Office Word</Application>
  <DocSecurity>0</DocSecurity>
  <Lines>116</Lines>
  <Paragraphs>32</Paragraphs>
  <ScaleCrop>false</ScaleCrop>
  <Company>NIPOS</Company>
  <LinksUpToDate>false</LinksUpToDate>
  <CharactersWithSpaces>16305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mstrotzer</dc:creator>
  <cp:keywords/>
  <dc:description/>
  <cp:lastModifiedBy>mstrotzer</cp:lastModifiedBy>
  <cp:revision>2</cp:revision>
  <dcterms:created xsi:type="dcterms:W3CDTF">2015-11-29T21:57:00Z</dcterms:created>
  <dcterms:modified xsi:type="dcterms:W3CDTF">2015-11-29T21:57:00Z</dcterms:modified>
</cp:coreProperties>
</file>