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74" w:rsidRPr="004A2E74" w:rsidRDefault="004A2E74" w:rsidP="004A2E74">
      <w:pPr>
        <w:spacing w:after="150" w:line="630" w:lineRule="atLeast"/>
        <w:outlineLvl w:val="0"/>
        <w:rPr>
          <w:rFonts w:ascii="&amp;quot" w:eastAsia="Times New Roman" w:hAnsi="&amp;quot" w:cs="Times New Roman"/>
          <w:b/>
          <w:bCs/>
          <w:color w:val="333333"/>
          <w:kern w:val="36"/>
          <w:sz w:val="45"/>
          <w:szCs w:val="45"/>
          <w:lang w:eastAsia="cs-CZ"/>
        </w:rPr>
      </w:pPr>
      <w:r w:rsidRPr="004A2E74">
        <w:rPr>
          <w:rFonts w:ascii="&amp;quot" w:eastAsia="Times New Roman" w:hAnsi="&amp;quot" w:cs="Times New Roman"/>
          <w:b/>
          <w:bCs/>
          <w:color w:val="333333"/>
          <w:kern w:val="36"/>
          <w:sz w:val="45"/>
          <w:szCs w:val="45"/>
          <w:lang w:eastAsia="cs-CZ"/>
        </w:rPr>
        <w:t>Červený Kostelec okem porotce - nováčka</w:t>
      </w:r>
    </w:p>
    <w:p w:rsidR="004A2E74" w:rsidRPr="004A2E74" w:rsidRDefault="004A2E74" w:rsidP="004A2E74">
      <w:pPr>
        <w:shd w:val="clear" w:color="auto" w:fill="FFFFFF"/>
        <w:spacing w:after="0" w:line="240" w:lineRule="auto"/>
        <w:jc w:val="center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>
        <w:rPr>
          <w:rFonts w:ascii="&amp;quot" w:eastAsia="Times New Roman" w:hAnsi="&amp;quot" w:cs="Times New Roman"/>
          <w:noProof/>
          <w:color w:val="777777"/>
          <w:sz w:val="21"/>
          <w:szCs w:val="21"/>
          <w:lang w:eastAsia="cs-CZ"/>
        </w:rPr>
        <w:drawing>
          <wp:inline distT="0" distB="0" distL="0" distR="0">
            <wp:extent cx="3048000" cy="2066925"/>
            <wp:effectExtent l="0" t="0" r="0" b="9525"/>
            <wp:docPr id="1" name="Obrázek 1" descr="DSC-1494-95fy2">
              <a:hlinkClick xmlns:a="http://schemas.openxmlformats.org/drawingml/2006/main" r:id="rId5" tooltip="&quot;Zvetšit obráz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-1494-95fy2">
                      <a:hlinkClick r:id="rId5" tooltip="&quot;Zvetšit obráz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74" w:rsidRPr="004A2E74" w:rsidRDefault="004A2E74" w:rsidP="004A2E74">
      <w:pPr>
        <w:spacing w:after="0" w:line="210" w:lineRule="atLeast"/>
        <w:rPr>
          <w:rFonts w:ascii="&amp;quot" w:eastAsia="Times New Roman" w:hAnsi="&amp;quot" w:cs="Times New Roman"/>
          <w:color w:val="808080"/>
          <w:sz w:val="17"/>
          <w:szCs w:val="17"/>
          <w:lang w:eastAsia="cs-CZ"/>
        </w:rPr>
      </w:pPr>
      <w:r w:rsidRPr="004A2E74">
        <w:rPr>
          <w:rFonts w:ascii="&amp;quot" w:eastAsia="Times New Roman" w:hAnsi="&amp;quot" w:cs="Times New Roman"/>
          <w:color w:val="808080"/>
          <w:sz w:val="17"/>
          <w:szCs w:val="17"/>
          <w:lang w:eastAsia="cs-CZ"/>
        </w:rPr>
        <w:t xml:space="preserve">Z představení Pak Kaplan má třídu rád </w:t>
      </w:r>
      <w:r w:rsidRPr="004A2E74">
        <w:rPr>
          <w:rFonts w:ascii="&amp;quot" w:eastAsia="Times New Roman" w:hAnsi="&amp;quot" w:cs="Times New Roman"/>
          <w:color w:val="999999"/>
          <w:sz w:val="17"/>
          <w:szCs w:val="17"/>
          <w:lang w:eastAsia="cs-CZ"/>
        </w:rPr>
        <w:t xml:space="preserve">Autor: Ivo </w:t>
      </w:r>
      <w:proofErr w:type="spellStart"/>
      <w:r w:rsidRPr="004A2E74">
        <w:rPr>
          <w:rFonts w:ascii="&amp;quot" w:eastAsia="Times New Roman" w:hAnsi="&amp;quot" w:cs="Times New Roman"/>
          <w:color w:val="999999"/>
          <w:sz w:val="17"/>
          <w:szCs w:val="17"/>
          <w:lang w:eastAsia="cs-CZ"/>
        </w:rPr>
        <w:t>Mičkal</w:t>
      </w:r>
      <w:proofErr w:type="spellEnd"/>
      <w:r w:rsidRPr="004A2E74">
        <w:rPr>
          <w:rFonts w:ascii="&amp;quot" w:eastAsia="Times New Roman" w:hAnsi="&amp;quot" w:cs="Times New Roman"/>
          <w:color w:val="999999"/>
          <w:sz w:val="17"/>
          <w:szCs w:val="17"/>
          <w:lang w:eastAsia="cs-CZ"/>
        </w:rPr>
        <w:t>, archiv přehlídky</w:t>
      </w:r>
      <w:r w:rsidRPr="004A2E74">
        <w:rPr>
          <w:rFonts w:ascii="&amp;quot" w:eastAsia="Times New Roman" w:hAnsi="&amp;quot" w:cs="Times New Roman"/>
          <w:color w:val="808080"/>
          <w:sz w:val="17"/>
          <w:szCs w:val="17"/>
          <w:lang w:eastAsia="cs-CZ"/>
        </w:rPr>
        <w:t xml:space="preserve"> </w:t>
      </w:r>
    </w:p>
    <w:p w:rsidR="004A2E74" w:rsidRPr="004A2E74" w:rsidRDefault="004A2E74" w:rsidP="004A2E74">
      <w:pPr>
        <w:spacing w:after="0" w:line="336" w:lineRule="atLeast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cs-CZ"/>
        </w:rPr>
      </w:pPr>
      <w:r w:rsidRPr="004A2E74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cs-CZ"/>
        </w:rPr>
        <w:t>Ve dnech 21. – 24. 2. 2019 se konal 22. divadelní festival v Červeném Kostelci, regionální přehlídka amatérského divadla s postupem na Divadelní Piknik Volyně (činoherní a hudební divadlo) a Popelku Rakovník (divadlo pro děti a mládež).</w:t>
      </w:r>
    </w:p>
    <w:p w:rsid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bookmarkStart w:id="0" w:name="_GoBack"/>
      <w:bookmarkEnd w:id="0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Z patnácti přihlášených souborů vybrali pořadatelé jedenáct, z nichž se přehlídky nakonec zúčastnilo jen deset – náchodský soubor, který byl jediný, který se chtěl ucházet o postup na Rakovnickou Popelku, bohužel nedorazil z důvodu nemoci.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Převládajícím žánrem byly letos v Červeném Kostelci komedie. Jedinou výjimkou z tohoto pravidla se stala inscenace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pardubického Divadla Exil Lola běží o život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, v </w:t>
      </w:r>
      <w:proofErr w:type="gram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níž</w:t>
      </w:r>
      <w:proofErr w:type="gram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šlo o autorskou divadelní adaptaci německého experimentálního filmu z konce devadesátých let Toma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Tykwera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, předkládající divákům filozofické otázky o míře svobody a předurčenosti. Přes drobné konkrétní inscenační nejasnosti si získala pozornost svým odvážným dramaturgickým přístupem kombinujícím hrané situace s epickým vyprávěním a dalšími inscenačními prostředky.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Porota ji proto ocenila čestným uznáním za inscenaci a poněkud nesystémově navrhla k postupu na Šrámkův Písek – tedy mimo oblast tradičního činoherního nebo hudebního divadla: na přehlídku inscenací experimentálních.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S ustavujícím počinem se přijel s diváky přehlídky podělit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soubor NODIVSE z Nového Města nad Metují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, který v roce 2017 obnovil své působení inscenací stejného titulu, kterým byla ochotnická činnost v tomto městě započata již v roce 1832: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Shakespearovou Půjčkou za oplátku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. K předloze přistoupili možná příliš jednoznačně jako ke komedii, což oslabilo vyznění a smysl některých vyhrocených dramatických pasáží, přesto však zaujali odvážným hereckým nasazením převážně ženského souboru (poměr ženy – muži byl 11:1).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S nesnadným úkolem se utkal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Divadelní spolek Jiří z Poděbrad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, když se </w:t>
      </w:r>
      <w:proofErr w:type="gram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rozhodl</w:t>
      </w:r>
      <w:proofErr w:type="gram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inscenovat současnou českou hru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Petra Zelenky My se vám </w:t>
      </w:r>
      <w:proofErr w:type="gram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ozveme</w:t>
      </w:r>
      <w:proofErr w:type="gram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(původní název Job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Interviews</w:t>
      </w:r>
      <w:proofErr w:type="spell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)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. I přes funkční scénografické řešení a žánrově poučené herectví však soubor nedokázal překonat dramatické slabiny předlohy, která uvízla v rovině předvídatelné morality.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proofErr w:type="gram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Oproti</w:t>
      </w:r>
      <w:proofErr w:type="gram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tomu velmi nadějný text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Bouřka na obzoru Dany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Laurentové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pro sebe objevila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Náchodská divadelní </w:t>
      </w:r>
      <w:proofErr w:type="gram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scéna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.</w:t>
      </w:r>
      <w:proofErr w:type="gram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Jedná se o současnou francouzskou situační komedii s rozpracovaným ústředním charakterem a vkusně vybalancovaným tématem ženské emancipace. Soubor i v tomto případě prokázal znalost hereckých pravidel žánru – nota bene ve velice umné scénografii akad. malíře Ivana Krejčího. 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lastRenderedPageBreak/>
        <w:t>Inscenaci by však svědčilo razantnější krácení, především v závěrečném třetím jednání, kdy slibně rozjetý příběh na poměrně dlouhou dobu uvízne na mělčině.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Do třetice své schopnosti s inscenováním žánru situační komedie předvedl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Divadelní soubor </w:t>
      </w:r>
      <w:proofErr w:type="gram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J.K.</w:t>
      </w:r>
      <w:proofErr w:type="gram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Tyl z Meziměstí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na hře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Rodina je základ státu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Raye</w:t>
      </w:r>
      <w:proofErr w:type="spell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Cooneyho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 – a ve srovnání s předešlými dvěma soubory z toho vyšel nejlépe: poučená a sebevědomá režie, funkční dramaturgické škrty, herecký soubor držící vyrovnanou míru stylizace i nezbytné tempo. Herci se dokázali udržet i v případě bouřlivých diváckých reakcí a nenechali strhnout k podbízivému rozehrávání okrajových gagů. Sebevědomé zvládnutí na první pohled lehké komedie skrývající v sobě nejednu řemeslnou svízel si vysloužilo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doporučení na Volyňský divadelní Piknik.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Na festivalu se také objevily dva zástupci hudebního divadla. Prvním byl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Divadelní spolek KLICPERA z Chlumce nad Cidlinou s Divotvorným hrncem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. Jednalo se bezesporu o úctyhodný počin především v rovině organizační. Na muzikálu se podílelo ke čtyřem desítkám účastníků: herců, zpěváků, tanečníků, hudebníků a techniků. S naivistickou scénografií (veliký kašírovaný strom a studna) a kostýmy vhodně korespondoval i herecký styl. Vedle určité nevyváženosti v poměru jednotlivých složek některých výkonů však vyvolával rozpaky i samotný text hry, který byl hrán bez aktualizačních úprav a svými dobovými politickými narážkami </w:t>
      </w:r>
      <w:proofErr w:type="gram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disonoval s vkusem</w:t>
      </w:r>
      <w:proofErr w:type="gram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současného vnímání.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Za druhý příspěvek v této oblasti bylo možné považovat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Zvonohrady</w:t>
      </w:r>
      <w:proofErr w:type="spell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Divadelního klubu z Vrchlabí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. Tentokrát šlo naopak o razantní autorský zásah do motivů původní románové předlohy (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Zvonokosy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Gabriela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Chevalliera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). Kromě zachování charakteristik většiny postav a několika motivů se jednalo o zcela volnou variaci na téma s vlastními dějovými zápletkami a šťavnatými slovními i situačními gagy. Jadrnost místy až středověkého humoru vyvažovala formálně čistá a funkční scénografie, vyrovnaná herecká stylizace a ukázněnost souboru, který i zde dokázal udržet nastavenou míru vkusu. Hlavní ambicí inscenace bylo pobavit. Tomu se vše podřizovalo a toho se také podařilo bezesporu dosáhnout. Jednalo se tak o příjemnou divadelní jednohubku bez hlubšího poselství.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Poněkud komorního charakteru byla inscenace hry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P.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Palmada</w:t>
      </w:r>
      <w:proofErr w:type="spell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a C. </w:t>
      </w:r>
      <w:proofErr w:type="spellStart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Duthurona</w:t>
      </w:r>
      <w:proofErr w:type="spellEnd"/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 xml:space="preserve"> Na útěku ADIVADLA z Havlíčkova Brodu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. Divadelní příležitost pro dvě herečky ve scénograficky úsporné výpravě – v rozsahu však plně celovečerní záležitosti (105 min) byla snad nejobtížnější výzvou celého festivalu. Náročná předloha – žánrově nesnadno uchopitelná (lyrizující slovní klauniáda) – o společné cestě dvou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temperamentově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odlišných žen v různém věku by představovala stěží zvládnutelnou výzvu i pro zkušené profesionální režiséry.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Tím spíše je třeba ocenit výsledek jiného souboje s opravdu nesnadným inscenačním úkolem souboru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Vlastenecký DS VLASTÍK opět z Vrchlabí, který inscenoval Hanušovu dramatizaci Pan Kaplan má třídu rád od Leo Rostena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 – a přesvědčivě uspěl. Zde se režie musela potýkat s úkolem vytvořit pro jednání postav účinný jevištní prostor, který dramatizace sama nenabízí, a zároveň uhlídat míru komické stylizace jednotlivých postav v přesném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temporytmickém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tahu převládající kolektivní situace. To se jí povedlo: včetně lyrických a tragických přesahů, které k tomuto dílu bytostně patří. Nevšední zážitek byl proto oceněn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doporučením na prvním místě na přehlídku ve Volyni.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Zlatým hřebem se ale stalo poslední představení přehlídky 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Lakomec a další světci od DS Vrchlický z Jaroměře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. Inscenátoři obohatili slavnou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Molièrovu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hru o několik momentů z jiných jeho her (Zdravý nemocný, Tartuffe). V hereckém uchopení postupovali podle principů komedie dell’arte: precizně vybudovaný stylizovaný pohyb, ostře vykreslené typy, důraz na přesný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temporytmus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i příležitosti k improvizaci, používání pohybových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lazzi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apod. Scénografie sestávající především z kašírovaného sloupořadí v perspektivní zkratce uvolňovala prostor herecké hře a metaforicky ji významově i esteticky posouvala – stejně tak kostýmy evokující barokní pestrost. Sebevědomý komediální tah hlavních 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lastRenderedPageBreak/>
        <w:t xml:space="preserve">představitelů byl průběžně narušován lyrickými momenty, které příběhu jejich postav vytvářely sentimentální přesahy rozvíjející významové kontexty celé této koncepčně bohaté, historizující a zároveň současné,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molièrovské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variace. Vedle tří ocenění za herectví, scénografii a kostýmy si inscenace vysloužila i </w:t>
      </w:r>
      <w:r w:rsidRPr="004A2E74"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cs-CZ"/>
        </w:rPr>
        <w:t>vítěznou nominaci do národního kola</w:t>
      </w: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Co dodat závěrem? Na letošním ročníku krajské přehlídky v Červeném Kostelci převládaly velké celovečerní žánrové komedie, jež se v drtivé většině případů dařilo velmi solidně řemeslně založit a herecky využít. Zřejmě na tom má podíl i úspěšné lektorské působení odborných porot z minulých let, které při rozborových seminářích pěstují uměleckou úroveň amatérského divadla. Letošní porota, která se až na Reginu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Szymikovou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 skládala ze samých nováčků (předseda Adam Doležal, Libor Vodička, Lukáš Rieger), mohla tuto práci svých předchůdců jen obdivovat a nadšení a zkušenosti východočeských divadelníků do dalších let držet palce.</w:t>
      </w:r>
    </w:p>
    <w:p w:rsidR="004A2E74" w:rsidRPr="004A2E74" w:rsidRDefault="004A2E74" w:rsidP="004A2E74">
      <w:pPr>
        <w:spacing w:after="150" w:line="294" w:lineRule="atLeas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 xml:space="preserve">Pozn. </w:t>
      </w:r>
      <w:proofErr w:type="spellStart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red</w:t>
      </w:r>
      <w:proofErr w:type="spellEnd"/>
      <w:r w:rsidRPr="004A2E74"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  <w:t>: Více fotografií a kompletní výsledky přehlídky naleznete zde: </w:t>
      </w:r>
      <w:hyperlink r:id="rId7" w:history="1">
        <w:r w:rsidRPr="004A2E74">
          <w:rPr>
            <w:rFonts w:ascii="&amp;quot" w:eastAsia="Times New Roman" w:hAnsi="&amp;quot" w:cs="Times New Roman"/>
            <w:color w:val="777777"/>
            <w:sz w:val="21"/>
            <w:szCs w:val="21"/>
            <w:lang w:eastAsia="cs-CZ"/>
          </w:rPr>
          <w:t>http://www.amaterskascena.cz/…y-jnz24.html</w:t>
        </w:r>
      </w:hyperlink>
    </w:p>
    <w:p w:rsidR="004A2E74" w:rsidRPr="004A2E74" w:rsidRDefault="004A2E74" w:rsidP="004A2E74">
      <w:pPr>
        <w:spacing w:after="150" w:line="294" w:lineRule="atLeast"/>
        <w:jc w:val="right"/>
        <w:rPr>
          <w:rFonts w:ascii="&amp;quot" w:eastAsia="Times New Roman" w:hAnsi="&amp;quot" w:cs="Times New Roman"/>
          <w:color w:val="333333"/>
          <w:sz w:val="21"/>
          <w:szCs w:val="21"/>
          <w:lang w:eastAsia="cs-CZ"/>
        </w:rPr>
      </w:pPr>
      <w:r w:rsidRPr="004A2E74">
        <w:rPr>
          <w:rFonts w:ascii="&amp;quot" w:eastAsia="Times New Roman" w:hAnsi="&amp;quot" w:cs="Times New Roman"/>
          <w:i/>
          <w:iCs/>
          <w:color w:val="333333"/>
          <w:sz w:val="21"/>
          <w:szCs w:val="21"/>
          <w:lang w:eastAsia="cs-CZ"/>
        </w:rPr>
        <w:t>Autor: Lukáš Rieger</w:t>
      </w:r>
    </w:p>
    <w:p w:rsidR="00FD4F26" w:rsidRDefault="00FD4F26"/>
    <w:sectPr w:rsidR="00FD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74"/>
    <w:rsid w:val="004A2E74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2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2E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2E74"/>
    <w:rPr>
      <w:color w:val="0000FF"/>
      <w:u w:val="single"/>
    </w:rPr>
  </w:style>
  <w:style w:type="character" w:customStyle="1" w:styleId="clanek-obrazek-autor">
    <w:name w:val="clanek-obrazek-autor"/>
    <w:basedOn w:val="Standardnpsmoodstavce"/>
    <w:rsid w:val="004A2E74"/>
  </w:style>
  <w:style w:type="paragraph" w:customStyle="1" w:styleId="clanek-perex">
    <w:name w:val="clanek-perex"/>
    <w:basedOn w:val="Normln"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E74"/>
    <w:rPr>
      <w:b/>
      <w:bCs/>
    </w:rPr>
  </w:style>
  <w:style w:type="character" w:customStyle="1" w:styleId="pin1552033923209buttonpin">
    <w:name w:val="pin_1552033923209_button_pin"/>
    <w:basedOn w:val="Standardnpsmoodstavce"/>
    <w:rsid w:val="004A2E74"/>
  </w:style>
  <w:style w:type="paragraph" w:styleId="Normlnweb">
    <w:name w:val="Normal (Web)"/>
    <w:basedOn w:val="Normln"/>
    <w:uiPriority w:val="99"/>
    <w:semiHidden/>
    <w:unhideWhenUsed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2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2E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2E74"/>
    <w:rPr>
      <w:color w:val="0000FF"/>
      <w:u w:val="single"/>
    </w:rPr>
  </w:style>
  <w:style w:type="character" w:customStyle="1" w:styleId="clanek-obrazek-autor">
    <w:name w:val="clanek-obrazek-autor"/>
    <w:basedOn w:val="Standardnpsmoodstavce"/>
    <w:rsid w:val="004A2E74"/>
  </w:style>
  <w:style w:type="paragraph" w:customStyle="1" w:styleId="clanek-perex">
    <w:name w:val="clanek-perex"/>
    <w:basedOn w:val="Normln"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E74"/>
    <w:rPr>
      <w:b/>
      <w:bCs/>
    </w:rPr>
  </w:style>
  <w:style w:type="character" w:customStyle="1" w:styleId="pin1552033923209buttonpin">
    <w:name w:val="pin_1552033923209_button_pin"/>
    <w:basedOn w:val="Standardnpsmoodstavce"/>
    <w:rsid w:val="004A2E74"/>
  </w:style>
  <w:style w:type="paragraph" w:styleId="Normlnweb">
    <w:name w:val="Normal (Web)"/>
    <w:basedOn w:val="Normln"/>
    <w:uiPriority w:val="99"/>
    <w:semiHidden/>
    <w:unhideWhenUsed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4A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16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aterskascena.cz/clanek/cerveny-kostelec-vysledky-jnz2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materskascena.cz/clanek/cerveny-kostelec-okem-porotce-novacka-66mcy.html?do=zmenitVelikostObrazk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</cp:revision>
  <dcterms:created xsi:type="dcterms:W3CDTF">2019-03-08T08:35:00Z</dcterms:created>
  <dcterms:modified xsi:type="dcterms:W3CDTF">2019-03-08T08:38:00Z</dcterms:modified>
</cp:coreProperties>
</file>