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3E" w:rsidRPr="00C85E3E" w:rsidRDefault="00C85E3E" w:rsidP="00597BF6">
      <w:pPr>
        <w:spacing w:after="225"/>
        <w:outlineLvl w:val="0"/>
        <w:rPr>
          <w:rFonts w:ascii="Lucida Sans Unicode" w:eastAsia="Times New Roman" w:hAnsi="Lucida Sans Unicode" w:cs="Lucida Sans Unicode"/>
          <w:b/>
          <w:bCs/>
          <w:color w:val="2C2F34"/>
          <w:kern w:val="36"/>
          <w:sz w:val="62"/>
          <w:szCs w:val="62"/>
          <w:lang w:eastAsia="cs-CZ"/>
        </w:rPr>
      </w:pPr>
      <w:r w:rsidRPr="00C85E3E">
        <w:rPr>
          <w:rFonts w:ascii="Lucida Sans Unicode" w:eastAsia="Times New Roman" w:hAnsi="Lucida Sans Unicode" w:cs="Lucida Sans Unicode"/>
          <w:b/>
          <w:bCs/>
          <w:color w:val="2C2F34"/>
          <w:kern w:val="36"/>
          <w:sz w:val="62"/>
          <w:szCs w:val="62"/>
          <w:lang w:eastAsia="cs-CZ"/>
        </w:rPr>
        <w:t>Žena, pro niž divadlo bylo životní nutností</w:t>
      </w:r>
      <w:bookmarkStart w:id="0" w:name="_GoBack"/>
      <w:bookmarkEnd w:id="0"/>
    </w:p>
    <w:p w:rsidR="00C85E3E" w:rsidRPr="00C85E3E" w:rsidRDefault="00597BF6" w:rsidP="00C85E3E">
      <w:pPr>
        <w:spacing w:line="360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cs-CZ"/>
        </w:rPr>
      </w:pPr>
      <w:hyperlink r:id="rId4" w:tooltip="Milan Hrabal" w:history="1">
        <w:r w:rsidR="00C85E3E" w:rsidRPr="00C85E3E">
          <w:rPr>
            <w:rFonts w:ascii="Lucida Sans Unicode" w:eastAsia="Times New Roman" w:hAnsi="Lucida Sans Unicode" w:cs="Lucida Sans Unicode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eastAsia="cs-CZ"/>
          </w:rPr>
          <w:t>Milan Hrabal</w:t>
        </w:r>
      </w:hyperlink>
      <w:r w:rsidR="00C85E3E" w:rsidRPr="00C85E3E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cs-CZ"/>
        </w:rPr>
        <w:t> 31. 8. 2019</w:t>
      </w:r>
    </w:p>
    <w:p w:rsidR="00C85E3E" w:rsidRPr="00C85E3E" w:rsidRDefault="00C85E3E" w:rsidP="00C85E3E">
      <w:pPr>
        <w:rPr>
          <w:rFonts w:ascii="Lucida Sans Unicode" w:eastAsia="Times New Roman" w:hAnsi="Lucida Sans Unicode" w:cs="Lucida Sans Unicode"/>
          <w:color w:val="2C2F34"/>
          <w:sz w:val="20"/>
          <w:szCs w:val="20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0"/>
          <w:szCs w:val="20"/>
          <w:lang w:eastAsia="cs-CZ"/>
        </w:rPr>
        <w:drawing>
          <wp:inline distT="0" distB="0" distL="0" distR="0">
            <wp:extent cx="6191250" cy="6089015"/>
            <wp:effectExtent l="0" t="0" r="0" b="6985"/>
            <wp:docPr id="7" name="Obrázek 7" descr="https://www.vybezek.eu/wp-uploads/ivo/2019/0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ybezek.eu/wp-uploads/ivo/2019/08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08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E3E" w:rsidRPr="00C85E3E" w:rsidRDefault="00C85E3E" w:rsidP="00597BF6">
      <w:pPr>
        <w:spacing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Uprostřed prázdnin příznivce amatérského divadla zastihla smutná zpráva: ve čtvrtek dne 8. srpna 2019 zemřela po těžké nemoci v kruhu svých blízkých ve věku 75 let novinářka, teatroložka, publicistka a editorka PhDr. Vítězslava Šrámková (*</w:t>
      </w:r>
      <w:proofErr w:type="gram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16.12.1943</w:t>
      </w:r>
      <w:proofErr w:type="gram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 Litomyšl, † 8.8.2019 Praha). Její jméno je natrvalo spjato 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lastRenderedPageBreak/>
        <w:t>s amatérským divadlem a divadlem poezie.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br/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Divadelní začátky Vítězslavy Šrámkové (rozené </w:t>
      </w:r>
      <w:proofErr w:type="spell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Horádkové</w:t>
      </w:r>
      <w:proofErr w:type="spell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) jsou spojeny se severem Čech, konkrétně s Varnsdorfem. Vyrůstala zde od května roku 1945, kdy sem byl přeložen její tatínek. Na základní škole na náměstí byla členkou dětského divadelního souboru vedeného učitelkou matematiky, fyziky a chemie Jarmilou Tesařovou. V letech 1957–1960 absolvovala ve Varnsdorfu jedenáctiletou střední školu. V té době byla členkou Recitačního souboru Divadla poezie V. Nezvala, vedeného češtinářem Jiřím Janáčkem, který k aktivnímu vztahu k literatuře a zejména poezii přivedl řadu svých studentů. Vítězslava byla rovněž členkou Klubu mladých Oblastního divadla ve Varnsdorfu. Velký vliv na její budoucí směřování měly pravidelné literární večery v Klubu </w:t>
      </w:r>
      <w:proofErr w:type="spell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Elite</w:t>
      </w:r>
      <w:proofErr w:type="spell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, kde i ona recitovala. Jako členka místní odbočky Klubu přátel poezie se účastnila besed s autory a redaktory.</w:t>
      </w:r>
    </w:p>
    <w:p w:rsidR="00C85E3E" w:rsidRPr="00C85E3E" w:rsidRDefault="00C85E3E" w:rsidP="00C85E3E">
      <w:pPr>
        <w:spacing w:after="375" w:line="390" w:lineRule="atLeast"/>
        <w:jc w:val="both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drawing>
          <wp:inline distT="0" distB="0" distL="0" distR="0">
            <wp:extent cx="6191250" cy="4647565"/>
            <wp:effectExtent l="0" t="0" r="0" b="635"/>
            <wp:docPr id="6" name="Obrázek 6" descr="https://www.vybezek.eu/wp-uploads/ivo/2019/0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ybezek.eu/wp-uploads/ivo/2019/08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lastRenderedPageBreak/>
        <w:t xml:space="preserve">V letech 1960-1965 vystudovala na Filozofické fakultě UK Praha obor čeština-ruština. Od 3. ročníku rozšířila svá studia o literárněvědnou specializaci. Zajímala se o tzv. soubory malých jevištních forem, amatérské divadlo, divadlo poezie a umělecký přednes. V roce 1965 obhájila diplomovou práci Literární texty malých divadel. Už jako studentka spolupracovala s různými časopisy (Zlatý máj, Kulturní tvorba). Od září 1966 pak nastoupila jako redaktorka do Učitelských novin. V roce 1967 se stala členkou Ústředního poradního sboru pro umělecký přednes a v té době také </w:t>
      </w:r>
      <w:proofErr w:type="gram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získala</w:t>
      </w:r>
      <w:proofErr w:type="gram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 titul PhDr. V srpnu 1968 se </w:t>
      </w:r>
      <w:proofErr w:type="gram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podílela</w:t>
      </w:r>
      <w:proofErr w:type="gram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 na vydávání Svobodných Učitelských novin, což vedlo na počátku sedmdesátých let k nucené změně zaměstnání.</w:t>
      </w:r>
    </w:p>
    <w:p w:rsidR="00C85E3E" w:rsidRPr="00C85E3E" w:rsidRDefault="00C85E3E" w:rsidP="00C85E3E">
      <w:pPr>
        <w:spacing w:after="375" w:line="390" w:lineRule="atLeast"/>
        <w:jc w:val="both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lastRenderedPageBreak/>
        <w:drawing>
          <wp:inline distT="0" distB="0" distL="0" distR="0">
            <wp:extent cx="4647565" cy="6191250"/>
            <wp:effectExtent l="0" t="0" r="635" b="0"/>
            <wp:docPr id="5" name="Obrázek 5" descr="https://www.vybezek.eu/wp-uploads/ivo/2019/0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ybezek.eu/wp-uploads/ivo/2019/08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Od roku 1971 působila jako odborný pracovník pro umělecký přednes a divadlo poezie v Ústavu pro kulturně výchovnou činnost. K jejím úkolům patřilo zajišťování přehlídek Wolkerův Prostějov, Šrámkova Sobotka, Memoriál Oldřicha </w:t>
      </w:r>
      <w:proofErr w:type="spell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Tillmanna</w:t>
      </w:r>
      <w:proofErr w:type="spell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 (později přejmenovaný na </w:t>
      </w:r>
      <w:proofErr w:type="gram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Poema</w:t>
      </w:r>
      <w:proofErr w:type="gram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) apod. Současně redigovala edici Umělecký přednes. Od roku 1976 se její činnost rozšířila na přehlídku mladého netradičního divadla Šrámkův Písek. V 80. letech na základě udání byla vyšetřována, protože poskytla krycí jméno kamarádovi, který měl zákaz publikovat.</w:t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lastRenderedPageBreak/>
        <w:t>Po roce 1989 byla jako novinářka rehabilitována a mohla se vrátit ke své novinářské práci (Česká politika, MY 90). Vedle této práce se i nadále věnovala divadlu – spolupracovala na přípravách přehlídek uměleckého přednesu a amatérských divadel, především se však podílela na přípravě reorganizace odborného pracoviště pro neprofesionální umění. Významný podíl měla rovněž na zpracování strategických materiálů týkajících se podílu státu, měst i soukromých subjektů na podpoře amatérských souborů a přehlídek v nových politických a společenských podmínkách. V roce 1991 se stala vedoucí útvaru pro neprofesionální umění a dětské estetické aktivity ARTAMA. Současně pokračovala v bohaté publikační činnosti zaměřené na oblast divadla.</w:t>
      </w:r>
    </w:p>
    <w:p w:rsidR="00C85E3E" w:rsidRPr="00C85E3E" w:rsidRDefault="00C85E3E" w:rsidP="00C85E3E">
      <w:pPr>
        <w:spacing w:after="375" w:line="390" w:lineRule="atLeast"/>
        <w:jc w:val="both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drawing>
          <wp:inline distT="0" distB="0" distL="0" distR="0">
            <wp:extent cx="6191250" cy="4647565"/>
            <wp:effectExtent l="0" t="0" r="0" b="635"/>
            <wp:docPr id="4" name="Obrázek 4" descr="https://www.vybezek.eu/wp-uploads/ivo/2019/0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ybezek.eu/wp-uploads/ivo/2019/08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E3E" w:rsidRPr="00C85E3E" w:rsidRDefault="00C85E3E" w:rsidP="00597BF6">
      <w:pPr>
        <w:spacing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V roce 1995 v souvislosti s postupným zánikem řady souborů, kulturních středisek a zničení mnoha archivů vyslovila reálnou obavu ze „ztráty paměti českého amatérského divadla“. Proto vypracovala projekt na zpracování jeho dějin, zapojila do něj řadu předních českých teatrologů a spolu s vedoucím tohoto autorského kolektivu Janem Císařem připravila první výstup projektu – 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lastRenderedPageBreak/>
        <w:t>knihu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Cesty českého amatérského divadla</w:t>
      </w:r>
      <w:r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 xml:space="preserve"> 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(1998). Do přípravy dalších výstupů – publikace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Bibliografie českého amatérského divadla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 (1999), a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Místopis českého amatérského divadla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 (I. díl 2001, II. díl 2002) – zainteresovala spolu se svým novým spolupracovníkem Jiřím Valentou široký tým autorů z celé republiky. Pro převedení a další průběžné rozšiřování takto získaných informací do elektronické podoby na internetu zabezpečila podporu z tzv. Norských fondů, díky kterým vznikla a stále se rozrůstá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Databáze českého amatérského divadla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. Spolu se svým manželem Bronislavem Pražanem redakčně připravila publikaci editora Jiřího Valenty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Malované opony divadel českých zemí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 (2010).</w:t>
      </w:r>
    </w:p>
    <w:p w:rsidR="00C85E3E" w:rsidRPr="00C85E3E" w:rsidRDefault="00C85E3E" w:rsidP="00C85E3E">
      <w:pPr>
        <w:spacing w:after="375" w:line="390" w:lineRule="atLeast"/>
        <w:jc w:val="both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drawing>
          <wp:inline distT="0" distB="0" distL="0" distR="0">
            <wp:extent cx="4093210" cy="5836285"/>
            <wp:effectExtent l="0" t="0" r="2540" b="0"/>
            <wp:docPr id="3" name="Obrázek 3" descr="https://www.vybezek.eu/wp-uploads/ivo/2019/08/mistopis-ceskeho-amaterskeho-divadla-i.-d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ybezek.eu/wp-uploads/ivo/2019/08/mistopis-ceskeho-amaterskeho-divadla-i.-di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58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E3E" w:rsidRPr="00C85E3E" w:rsidRDefault="00C85E3E" w:rsidP="00597BF6">
      <w:pPr>
        <w:spacing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lastRenderedPageBreak/>
        <w:drawing>
          <wp:inline distT="0" distB="0" distL="0" distR="0">
            <wp:extent cx="4093210" cy="6104890"/>
            <wp:effectExtent l="0" t="0" r="2540" b="0"/>
            <wp:docPr id="2" name="Obrázek 2" descr="https://www.vybezek.eu/wp-uploads/ivo/2019/08/mistopis-ceskeho-amaterskeho-divadla-ii.-dil-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ybezek.eu/wp-uploads/ivo/2019/08/mistopis-ceskeho-amaterskeho-divadla-ii.-dil-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6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br/>
      </w:r>
      <w:r w:rsidRPr="00C85E3E">
        <w:rPr>
          <w:rFonts w:ascii="Lucida Sans Unicode" w:eastAsia="Times New Roman" w:hAnsi="Lucida Sans Unicode" w:cs="Lucida Sans Unicode"/>
          <w:noProof/>
          <w:color w:val="2C2F34"/>
          <w:sz w:val="23"/>
          <w:szCs w:val="23"/>
          <w:lang w:eastAsia="cs-CZ"/>
        </w:rPr>
        <w:lastRenderedPageBreak/>
        <w:drawing>
          <wp:inline distT="0" distB="0" distL="0" distR="0">
            <wp:extent cx="6191250" cy="4340860"/>
            <wp:effectExtent l="0" t="0" r="0" b="2540"/>
            <wp:docPr id="1" name="Obrázek 1" descr="https://www.vybezek.eu/wp-uploads/ivo/2019/08/malovane-opony-divadel-ceskych-z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ybezek.eu/wp-uploads/ivo/2019/08/malovane-opony-divadel-ceskych-zem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br/>
        <w:t>Vedle toho se jako editorka v letech 2005 až 2007 podílela na tvorbě a vydání tří publikací o neprofesionálních autorských malých scénách 60., 70. a 80. let 20. století: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Pódia z krabičky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,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Divadla svítící do tmy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,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Divadla svítící do tmy II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.</w:t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V letech 2000–2008 byla členkou odborné rady ARTAMA pro umělecký přednes a od roku 2006 také členkou redakční rady Amatérské scény.</w:t>
      </w:r>
    </w:p>
    <w:p w:rsidR="00C85E3E" w:rsidRPr="00C85E3E" w:rsidRDefault="00C85E3E" w:rsidP="00597BF6">
      <w:pPr>
        <w:spacing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V roce 2006 jí byla udělena Cena ministerstva kultury za celoživotní přínos rozvoji uměleckého přednesu a divadla poezie. V roce 2007 pak (společně s Jiřím Valentou) získala Cenu ministra kultury za přínos rozvoji kultury (za projekty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Dějiny českého amatérského divadla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 a </w:t>
      </w:r>
      <w:r w:rsidRPr="00C85E3E">
        <w:rPr>
          <w:rFonts w:ascii="Lucida Sans Unicode" w:eastAsia="Times New Roman" w:hAnsi="Lucida Sans Unicode" w:cs="Lucida Sans Unicode"/>
          <w:i/>
          <w:iCs/>
          <w:color w:val="2C2F34"/>
          <w:sz w:val="23"/>
          <w:szCs w:val="23"/>
          <w:bdr w:val="none" w:sz="0" w:space="0" w:color="auto" w:frame="1"/>
          <w:lang w:eastAsia="cs-CZ"/>
        </w:rPr>
        <w:t>Databáze českého amatérského divadla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).</w:t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Město svého mládí, kam se pravidelně vracela, naposledy navštívila letos koncem května, aby se setkala se svými spolužáky maturitního ročníku jedenáctiletky z roku 1960.</w:t>
      </w:r>
    </w:p>
    <w:p w:rsidR="00C85E3E" w:rsidRPr="00C85E3E" w:rsidRDefault="00C85E3E" w:rsidP="00597BF6">
      <w:pPr>
        <w:spacing w:after="375"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Ve Vítězslavě Šrámkové ztrácí česká kultura a zejména amatérské divadlo jednu z nejvýznamnějších osobností.</w:t>
      </w:r>
    </w:p>
    <w:p w:rsidR="00C85E3E" w:rsidRPr="00C85E3E" w:rsidRDefault="00C85E3E" w:rsidP="00C85E3E">
      <w:pPr>
        <w:spacing w:after="375" w:line="390" w:lineRule="atLeast"/>
        <w:jc w:val="both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lastRenderedPageBreak/>
        <w:t>(Zdroje: Internetové Divadelní noviny, Místní kultura, Databáze českého amatérského divadla a informace poskytnuté panem Bronislavem Pražanem)</w:t>
      </w:r>
    </w:p>
    <w:p w:rsidR="00C85E3E" w:rsidRPr="00C85E3E" w:rsidRDefault="00C85E3E" w:rsidP="00C85E3E">
      <w:pPr>
        <w:spacing w:line="390" w:lineRule="atLeast"/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</w:pP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Text: Milan Hrabal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br/>
        <w:t>Fotografie: archiv Bronislava Pražana</w:t>
      </w:r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br/>
      </w:r>
      <w:proofErr w:type="spellStart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>Scany</w:t>
      </w:r>
      <w:proofErr w:type="spellEnd"/>
      <w:r w:rsidRPr="00C85E3E">
        <w:rPr>
          <w:rFonts w:ascii="Lucida Sans Unicode" w:eastAsia="Times New Roman" w:hAnsi="Lucida Sans Unicode" w:cs="Lucida Sans Unicode"/>
          <w:color w:val="2C2F34"/>
          <w:sz w:val="23"/>
          <w:szCs w:val="23"/>
          <w:lang w:eastAsia="cs-CZ"/>
        </w:rPr>
        <w:t xml:space="preserve"> obálek knih: Milan Hrabal</w:t>
      </w:r>
    </w:p>
    <w:p w:rsidR="000521CD" w:rsidRDefault="000521CD"/>
    <w:p w:rsidR="00597BF6" w:rsidRDefault="00597BF6"/>
    <w:p w:rsidR="00597BF6" w:rsidRDefault="00597BF6"/>
    <w:p w:rsidR="00597BF6" w:rsidRDefault="00597BF6" w:rsidP="00597BF6">
      <w:pPr>
        <w:pStyle w:val="Prosttext"/>
      </w:pPr>
      <w:r>
        <w:t xml:space="preserve">Slávčin nekrolog napsal varnsdorfský literát Milan Hrabal do internetového časopisu </w:t>
      </w:r>
      <w:r>
        <w:t xml:space="preserve">výběžek.eu,  </w:t>
      </w:r>
      <w:r>
        <w:t xml:space="preserve">vydávaného ve Šluknovském výběžku: </w:t>
      </w:r>
    </w:p>
    <w:p w:rsidR="00597BF6" w:rsidRDefault="00597BF6" w:rsidP="00597BF6">
      <w:hyperlink r:id="rId12" w:history="1">
        <w:r>
          <w:rPr>
            <w:rStyle w:val="Hypertextovodkaz"/>
          </w:rPr>
          <w:t>https://www.vybezek.eu/142274-vitezslava-sramkova-nekrolog/</w:t>
        </w:r>
      </w:hyperlink>
    </w:p>
    <w:sectPr w:rsidR="0059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B0"/>
    <w:rsid w:val="000521CD"/>
    <w:rsid w:val="00061586"/>
    <w:rsid w:val="00597BF6"/>
    <w:rsid w:val="00A604FD"/>
    <w:rsid w:val="00A609B0"/>
    <w:rsid w:val="00C85E3E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8EBD"/>
  <w15:chartTrackingRefBased/>
  <w15:docId w15:val="{818986E2-7FDF-4920-93F1-55CF5B27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5E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E3E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meta-author">
    <w:name w:val="meta-author"/>
    <w:basedOn w:val="Standardnpsmoodstavce"/>
    <w:rsid w:val="00C85E3E"/>
  </w:style>
  <w:style w:type="character" w:styleId="Hypertextovodkaz">
    <w:name w:val="Hyperlink"/>
    <w:basedOn w:val="Standardnpsmoodstavce"/>
    <w:uiPriority w:val="99"/>
    <w:semiHidden/>
    <w:unhideWhenUsed/>
    <w:rsid w:val="00C85E3E"/>
    <w:rPr>
      <w:color w:val="0000FF"/>
      <w:u w:val="single"/>
    </w:rPr>
  </w:style>
  <w:style w:type="character" w:customStyle="1" w:styleId="Datum1">
    <w:name w:val="Datum1"/>
    <w:basedOn w:val="Standardnpsmoodstavce"/>
    <w:rsid w:val="00C85E3E"/>
  </w:style>
  <w:style w:type="paragraph" w:styleId="Normlnweb">
    <w:name w:val="Normal (Web)"/>
    <w:basedOn w:val="Normln"/>
    <w:uiPriority w:val="99"/>
    <w:semiHidden/>
    <w:unhideWhenUsed/>
    <w:rsid w:val="00C85E3E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C85E3E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7BF6"/>
    <w:rPr>
      <w:rFonts w:ascii="Calibr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7BF6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1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796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6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0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vybezek.eu/142274-vitezslava-sramkova-nekrolo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vybezek.eu/author/milanhrabal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850</Words>
  <Characters>5019</Characters>
  <Application>Microsoft Office Word</Application>
  <DocSecurity>0</DocSecurity>
  <Lines>41</Lines>
  <Paragraphs>11</Paragraphs>
  <ScaleCrop>false</ScaleCrop>
  <Company>NIPOS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5</cp:revision>
  <dcterms:created xsi:type="dcterms:W3CDTF">2019-09-02T11:13:00Z</dcterms:created>
  <dcterms:modified xsi:type="dcterms:W3CDTF">2019-09-02T11:24:00Z</dcterms:modified>
</cp:coreProperties>
</file>